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</w:t>
      </w:r>
      <w:r w:rsidR="007F7C1A">
        <w:rPr>
          <w:color w:val="000000"/>
          <w:sz w:val="26"/>
          <w:szCs w:val="26"/>
        </w:rPr>
        <w:t xml:space="preserve">1 квартале </w:t>
      </w:r>
      <w:r w:rsidRPr="001D522D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году сумма безвозмездных  поступлений утверждена в объеме </w:t>
      </w:r>
      <w:r w:rsidR="00867C47">
        <w:rPr>
          <w:color w:val="000000"/>
          <w:sz w:val="26"/>
          <w:szCs w:val="26"/>
        </w:rPr>
        <w:t>777045,4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867C47">
        <w:rPr>
          <w:color w:val="000000"/>
          <w:sz w:val="26"/>
          <w:szCs w:val="26"/>
        </w:rPr>
        <w:t>66483,2</w:t>
      </w:r>
      <w:r w:rsidRPr="001D522D">
        <w:rPr>
          <w:color w:val="000000"/>
          <w:sz w:val="26"/>
          <w:szCs w:val="26"/>
        </w:rPr>
        <w:t xml:space="preserve"> 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867C47">
        <w:rPr>
          <w:color w:val="000000"/>
          <w:sz w:val="26"/>
          <w:szCs w:val="26"/>
        </w:rPr>
        <w:t>109% бол</w:t>
      </w:r>
      <w:r w:rsidR="007F7C1A">
        <w:rPr>
          <w:color w:val="000000"/>
          <w:sz w:val="26"/>
          <w:szCs w:val="26"/>
        </w:rPr>
        <w:t>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в </w:t>
      </w:r>
      <w:r w:rsidR="007F7C1A">
        <w:rPr>
          <w:color w:val="000000"/>
          <w:sz w:val="26"/>
          <w:szCs w:val="26"/>
        </w:rPr>
        <w:t xml:space="preserve">1 квартале </w:t>
      </w:r>
      <w:r w:rsidR="00954866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3</w:t>
      </w:r>
      <w:r w:rsidR="00A97336">
        <w:rPr>
          <w:color w:val="000000"/>
          <w:sz w:val="26"/>
          <w:szCs w:val="26"/>
        </w:rPr>
        <w:t xml:space="preserve"> году (</w:t>
      </w:r>
      <w:r w:rsidR="00867C47">
        <w:rPr>
          <w:color w:val="000000"/>
          <w:sz w:val="26"/>
          <w:szCs w:val="26"/>
        </w:rPr>
        <w:t>710562,2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7F7C1A">
        <w:rPr>
          <w:color w:val="000000"/>
          <w:sz w:val="26"/>
          <w:szCs w:val="26"/>
        </w:rPr>
        <w:t xml:space="preserve">1 квартал </w:t>
      </w:r>
      <w:r w:rsidRPr="001D522D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  сумма безвозмездных поступлений  </w:t>
      </w:r>
      <w:r w:rsidR="00D71CE7">
        <w:rPr>
          <w:color w:val="000000"/>
          <w:sz w:val="26"/>
          <w:szCs w:val="26"/>
        </w:rPr>
        <w:t>исполнена</w:t>
      </w:r>
      <w:r w:rsidRPr="001D522D">
        <w:rPr>
          <w:color w:val="000000"/>
          <w:sz w:val="26"/>
          <w:szCs w:val="26"/>
        </w:rPr>
        <w:t xml:space="preserve"> </w:t>
      </w:r>
      <w:r w:rsidR="00D71CE7">
        <w:rPr>
          <w:color w:val="000000"/>
          <w:sz w:val="26"/>
          <w:szCs w:val="26"/>
        </w:rPr>
        <w:t>189537,4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D71CE7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года (</w:t>
      </w:r>
      <w:r w:rsidR="00D71CE7">
        <w:rPr>
          <w:color w:val="000000"/>
          <w:sz w:val="26"/>
          <w:szCs w:val="26"/>
        </w:rPr>
        <w:t>222597,5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D71CE7">
        <w:rPr>
          <w:color w:val="000000"/>
          <w:sz w:val="26"/>
          <w:szCs w:val="26"/>
        </w:rPr>
        <w:t>), уменьшили</w:t>
      </w:r>
      <w:r w:rsidR="007615F2">
        <w:rPr>
          <w:color w:val="000000"/>
          <w:sz w:val="26"/>
          <w:szCs w:val="26"/>
        </w:rPr>
        <w:t xml:space="preserve">сь  на </w:t>
      </w:r>
      <w:r w:rsidR="00D71CE7">
        <w:rPr>
          <w:color w:val="000000"/>
          <w:sz w:val="26"/>
          <w:szCs w:val="26"/>
        </w:rPr>
        <w:t>33060,1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D71CE7">
        <w:rPr>
          <w:color w:val="000000"/>
          <w:sz w:val="26"/>
          <w:szCs w:val="26"/>
        </w:rPr>
        <w:t>85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A40231">
        <w:rPr>
          <w:color w:val="000000"/>
          <w:sz w:val="26"/>
          <w:szCs w:val="26"/>
        </w:rPr>
        <w:t>1 квартала</w:t>
      </w:r>
      <w:r w:rsidRPr="001D522D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</w:t>
      </w:r>
      <w:r w:rsidR="00D71CE7">
        <w:rPr>
          <w:color w:val="000000"/>
          <w:sz w:val="26"/>
          <w:szCs w:val="26"/>
        </w:rPr>
        <w:t>4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D71CE7">
        <w:rPr>
          <w:color w:val="000000"/>
          <w:sz w:val="26"/>
          <w:szCs w:val="26"/>
        </w:rPr>
        <w:t>24,4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745068">
        <w:rPr>
          <w:color w:val="000000"/>
          <w:sz w:val="26"/>
          <w:szCs w:val="26"/>
        </w:rPr>
        <w:t>4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745068">
        <w:rPr>
          <w:color w:val="000000"/>
          <w:sz w:val="26"/>
          <w:szCs w:val="26"/>
        </w:rPr>
        <w:t>39015,7</w:t>
      </w:r>
      <w:r w:rsidRPr="001D522D">
        <w:rPr>
          <w:color w:val="000000"/>
          <w:sz w:val="26"/>
          <w:szCs w:val="26"/>
        </w:rPr>
        <w:t xml:space="preserve"> тыс.</w:t>
      </w:r>
      <w:r w:rsidR="00745068">
        <w:rPr>
          <w:color w:val="000000"/>
          <w:sz w:val="26"/>
          <w:szCs w:val="26"/>
        </w:rPr>
        <w:t xml:space="preserve"> рублей, или 30,5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951148">
        <w:rPr>
          <w:color w:val="000000"/>
          <w:sz w:val="26"/>
          <w:szCs w:val="26"/>
        </w:rPr>
        <w:t xml:space="preserve"> (12</w:t>
      </w:r>
      <w:r w:rsidR="00745068">
        <w:rPr>
          <w:color w:val="000000"/>
          <w:sz w:val="26"/>
          <w:szCs w:val="26"/>
        </w:rPr>
        <w:t>8114</w:t>
      </w:r>
      <w:r w:rsidR="00951148">
        <w:rPr>
          <w:color w:val="000000"/>
          <w:sz w:val="26"/>
          <w:szCs w:val="26"/>
        </w:rPr>
        <w:t>,0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745068">
        <w:rPr>
          <w:color w:val="000000"/>
          <w:sz w:val="26"/>
          <w:szCs w:val="26"/>
        </w:rPr>
        <w:t>7447,3 тыс. рублей или 12,5</w:t>
      </w:r>
      <w:r w:rsidRPr="001D522D">
        <w:rPr>
          <w:color w:val="000000"/>
          <w:sz w:val="26"/>
          <w:szCs w:val="26"/>
        </w:rPr>
        <w:t>% от годового плана</w:t>
      </w:r>
      <w:r w:rsidR="00745068">
        <w:rPr>
          <w:color w:val="000000"/>
          <w:sz w:val="26"/>
          <w:szCs w:val="26"/>
        </w:rPr>
        <w:t xml:space="preserve"> (59417,1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745068">
        <w:rPr>
          <w:color w:val="000000"/>
          <w:sz w:val="26"/>
          <w:szCs w:val="26"/>
        </w:rPr>
        <w:t>оссийской Федерации – 137118,4 тыс. рублей, или 24,2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745068">
        <w:rPr>
          <w:color w:val="000000"/>
          <w:sz w:val="26"/>
          <w:szCs w:val="26"/>
        </w:rPr>
        <w:t xml:space="preserve"> (566529,1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CB746C">
        <w:rPr>
          <w:color w:val="000000"/>
          <w:sz w:val="26"/>
          <w:szCs w:val="26"/>
        </w:rPr>
        <w:t>125462,3</w:t>
      </w:r>
      <w:r w:rsidR="00F316DD">
        <w:rPr>
          <w:color w:val="000000"/>
          <w:sz w:val="26"/>
          <w:szCs w:val="26"/>
        </w:rPr>
        <w:t xml:space="preserve"> тыс. рублей или 24,1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="00996ABB">
        <w:rPr>
          <w:color w:val="000000"/>
          <w:sz w:val="26"/>
          <w:szCs w:val="26"/>
        </w:rPr>
        <w:t xml:space="preserve"> з</w:t>
      </w:r>
      <w:r w:rsidRPr="001D522D">
        <w:rPr>
          <w:color w:val="000000"/>
          <w:sz w:val="26"/>
          <w:szCs w:val="26"/>
        </w:rPr>
        <w:t>а</w:t>
      </w:r>
      <w:r w:rsidR="00996ABB">
        <w:rPr>
          <w:color w:val="000000"/>
          <w:sz w:val="26"/>
          <w:szCs w:val="26"/>
        </w:rPr>
        <w:t xml:space="preserve"> 1 квартал</w:t>
      </w:r>
      <w:r w:rsidR="00081B3B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996ABB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996ABB">
        <w:rPr>
          <w:color w:val="000000"/>
          <w:sz w:val="26"/>
          <w:szCs w:val="26"/>
        </w:rPr>
        <w:t>а</w:t>
      </w:r>
      <w:r w:rsidR="00CB746C">
        <w:rPr>
          <w:color w:val="000000"/>
          <w:sz w:val="26"/>
          <w:szCs w:val="26"/>
        </w:rPr>
        <w:t xml:space="preserve"> (519744,0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  <w:proofErr w:type="gramEnd"/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5226F6">
        <w:rPr>
          <w:color w:val="000000"/>
          <w:sz w:val="26"/>
          <w:szCs w:val="26"/>
        </w:rPr>
        <w:t>5956,0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5226F6">
        <w:rPr>
          <w:color w:val="000000"/>
          <w:sz w:val="26"/>
          <w:szCs w:val="26"/>
        </w:rPr>
        <w:t>25,9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5226F6">
        <w:rPr>
          <w:color w:val="000000"/>
          <w:sz w:val="26"/>
          <w:szCs w:val="26"/>
        </w:rPr>
        <w:t xml:space="preserve"> (22985,2</w:t>
      </w:r>
      <w:r w:rsidR="00511BC2">
        <w:rPr>
          <w:color w:val="000000"/>
          <w:sz w:val="26"/>
          <w:szCs w:val="26"/>
        </w:rPr>
        <w:t xml:space="preserve"> тыс. рублей)</w:t>
      </w:r>
      <w:r w:rsidR="0096113A">
        <w:rPr>
          <w:color w:val="000000"/>
          <w:sz w:val="26"/>
          <w:szCs w:val="26"/>
        </w:rPr>
        <w:t>.</w:t>
      </w:r>
      <w:r w:rsidR="005226F6">
        <w:rPr>
          <w:color w:val="000000"/>
          <w:sz w:val="26"/>
          <w:szCs w:val="26"/>
        </w:rPr>
        <w:t xml:space="preserve"> </w:t>
      </w: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BA106F">
        <w:rPr>
          <w:sz w:val="26"/>
          <w:szCs w:val="26"/>
        </w:rPr>
        <w:t xml:space="preserve">1 квартал </w:t>
      </w:r>
      <w:r w:rsidR="00730552" w:rsidRPr="00730552">
        <w:rPr>
          <w:sz w:val="26"/>
          <w:szCs w:val="26"/>
        </w:rPr>
        <w:t>202</w:t>
      </w:r>
      <w:r w:rsidR="0096113A">
        <w:rPr>
          <w:sz w:val="26"/>
          <w:szCs w:val="26"/>
        </w:rPr>
        <w:t>4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96113A">
        <w:rPr>
          <w:sz w:val="26"/>
          <w:szCs w:val="26"/>
        </w:rPr>
        <w:t>197193,7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96113A">
        <w:rPr>
          <w:sz w:val="26"/>
          <w:szCs w:val="26"/>
        </w:rPr>
        <w:t>22,9</w:t>
      </w:r>
      <w:r w:rsidR="00730552" w:rsidRPr="00730552">
        <w:rPr>
          <w:sz w:val="26"/>
          <w:szCs w:val="26"/>
        </w:rPr>
        <w:t>% от утвержденных годовых бюджетных назначений</w:t>
      </w:r>
      <w:r w:rsidR="0096113A">
        <w:rPr>
          <w:sz w:val="26"/>
          <w:szCs w:val="26"/>
        </w:rPr>
        <w:t xml:space="preserve"> (861438,0 тыс. рублей)</w:t>
      </w:r>
      <w:r w:rsidR="00730552" w:rsidRPr="00730552">
        <w:rPr>
          <w:sz w:val="26"/>
          <w:szCs w:val="26"/>
        </w:rPr>
        <w:t>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96113A">
        <w:rPr>
          <w:sz w:val="26"/>
          <w:szCs w:val="26"/>
        </w:rPr>
        <w:t>3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C02609">
        <w:rPr>
          <w:sz w:val="26"/>
          <w:szCs w:val="26"/>
        </w:rPr>
        <w:t>меньш</w:t>
      </w:r>
      <w:r w:rsidR="00007B25">
        <w:rPr>
          <w:sz w:val="26"/>
          <w:szCs w:val="26"/>
        </w:rPr>
        <w:t>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C02609">
        <w:rPr>
          <w:sz w:val="26"/>
          <w:szCs w:val="26"/>
        </w:rPr>
        <w:t>37013,7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C02609">
        <w:rPr>
          <w:sz w:val="26"/>
          <w:szCs w:val="26"/>
        </w:rPr>
        <w:t>84,2</w:t>
      </w:r>
      <w:r w:rsidR="00007B25">
        <w:rPr>
          <w:sz w:val="26"/>
          <w:szCs w:val="26"/>
        </w:rPr>
        <w:t>%</w:t>
      </w:r>
      <w:r w:rsidR="0096113A">
        <w:rPr>
          <w:sz w:val="26"/>
          <w:szCs w:val="26"/>
        </w:rPr>
        <w:t xml:space="preserve"> (234207,4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84219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BA106F">
        <w:rPr>
          <w:sz w:val="26"/>
          <w:szCs w:val="26"/>
        </w:rPr>
        <w:t xml:space="preserve">1 квартал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7E77A8">
        <w:rPr>
          <w:sz w:val="26"/>
          <w:szCs w:val="26"/>
        </w:rPr>
        <w:t>4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F2643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F2643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2643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4A19B5">
              <w:rPr>
                <w:bCs/>
                <w:sz w:val="20"/>
              </w:rPr>
              <w:t xml:space="preserve">1 кв.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 w:rsidRPr="00E6646D">
              <w:rPr>
                <w:bCs/>
                <w:sz w:val="20"/>
              </w:rPr>
              <w:t xml:space="preserve"> г.,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F2643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5,2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0,7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12990,8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06B5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854F3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748238,6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70865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176162,9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B6848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89,3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616084,1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616228,2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146177,1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61831,5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62397,2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15783,8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67691,9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68604,7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14165,5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F08C8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CF08C8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CF08C8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Pr="00624683" w:rsidRDefault="00CF08C8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8C8" w:rsidRDefault="00C10CE9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32855,8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651296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651296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7664,9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651296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3,9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855830,3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651296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861438,0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651296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197193,7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651296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1723FB">
        <w:rPr>
          <w:sz w:val="26"/>
          <w:szCs w:val="26"/>
        </w:rPr>
        <w:t xml:space="preserve">1 квартал </w:t>
      </w:r>
      <w:r w:rsidRPr="00FE12F0">
        <w:rPr>
          <w:sz w:val="26"/>
          <w:szCs w:val="26"/>
        </w:rPr>
        <w:t>202</w:t>
      </w:r>
      <w:r w:rsidR="00D05AFE">
        <w:rPr>
          <w:sz w:val="26"/>
          <w:szCs w:val="26"/>
        </w:rPr>
        <w:t>4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3F0D3D">
        <w:rPr>
          <w:sz w:val="26"/>
          <w:szCs w:val="26"/>
        </w:rPr>
        <w:t>146177,1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3F0D3D">
        <w:rPr>
          <w:sz w:val="26"/>
          <w:szCs w:val="26"/>
        </w:rPr>
        <w:t>74,1</w:t>
      </w:r>
      <w:r w:rsidR="009A7AC1">
        <w:rPr>
          <w:sz w:val="26"/>
          <w:szCs w:val="26"/>
        </w:rPr>
        <w:t>%  (</w:t>
      </w:r>
      <w:r w:rsidR="001723FB">
        <w:rPr>
          <w:sz w:val="26"/>
          <w:szCs w:val="26"/>
        </w:rPr>
        <w:t xml:space="preserve">1 кв. </w:t>
      </w:r>
      <w:r w:rsidR="009A7AC1">
        <w:rPr>
          <w:sz w:val="26"/>
          <w:szCs w:val="26"/>
        </w:rPr>
        <w:t>202</w:t>
      </w:r>
      <w:r w:rsidR="003F0D3D">
        <w:rPr>
          <w:sz w:val="26"/>
          <w:szCs w:val="26"/>
        </w:rPr>
        <w:t>3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3F0D3D">
        <w:rPr>
          <w:sz w:val="26"/>
          <w:szCs w:val="26"/>
        </w:rPr>
        <w:t>143861,4</w:t>
      </w:r>
      <w:r w:rsidR="00CF7C2A">
        <w:rPr>
          <w:sz w:val="26"/>
          <w:szCs w:val="26"/>
        </w:rPr>
        <w:t xml:space="preserve"> тыс. руб. – </w:t>
      </w:r>
      <w:r w:rsidR="003F0D3D">
        <w:rPr>
          <w:sz w:val="26"/>
          <w:szCs w:val="26"/>
        </w:rPr>
        <w:t>61,4</w:t>
      </w:r>
      <w:r w:rsidRPr="00FE12F0">
        <w:rPr>
          <w:sz w:val="26"/>
          <w:szCs w:val="26"/>
        </w:rPr>
        <w:t>%);</w:t>
      </w:r>
    </w:p>
    <w:p w:rsidR="00B42E2E" w:rsidRPr="00FE12F0" w:rsidRDefault="00B42E2E" w:rsidP="00B42E2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E12F0">
        <w:rPr>
          <w:sz w:val="26"/>
          <w:szCs w:val="26"/>
        </w:rPr>
        <w:t xml:space="preserve">–  «Культура, кинематография» - </w:t>
      </w:r>
      <w:r>
        <w:rPr>
          <w:sz w:val="26"/>
          <w:szCs w:val="26"/>
        </w:rPr>
        <w:t>15783,8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</w:t>
      </w:r>
      <w:r w:rsidRPr="00FE12F0">
        <w:rPr>
          <w:sz w:val="26"/>
          <w:szCs w:val="26"/>
        </w:rPr>
        <w:t xml:space="preserve">  – </w:t>
      </w:r>
      <w:r>
        <w:rPr>
          <w:sz w:val="26"/>
          <w:szCs w:val="26"/>
        </w:rPr>
        <w:t xml:space="preserve">8,0 </w:t>
      </w:r>
      <w:r w:rsidRPr="00FE12F0">
        <w:rPr>
          <w:sz w:val="26"/>
          <w:szCs w:val="26"/>
        </w:rPr>
        <w:t>% (</w:t>
      </w:r>
      <w:r>
        <w:rPr>
          <w:sz w:val="26"/>
          <w:szCs w:val="26"/>
        </w:rPr>
        <w:t>1 кв. 2023</w:t>
      </w:r>
      <w:r w:rsidRPr="00FE12F0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>– 14465,2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>
        <w:rPr>
          <w:sz w:val="26"/>
          <w:szCs w:val="26"/>
        </w:rPr>
        <w:t>6,2</w:t>
      </w:r>
      <w:r w:rsidRPr="00FE12F0">
        <w:rPr>
          <w:sz w:val="26"/>
          <w:szCs w:val="26"/>
        </w:rPr>
        <w:t>%);</w:t>
      </w:r>
      <w:proofErr w:type="gramEnd"/>
    </w:p>
    <w:p w:rsidR="00B42E2E" w:rsidRDefault="00B42E2E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lastRenderedPageBreak/>
        <w:t xml:space="preserve">– «Социальная политика» – </w:t>
      </w:r>
      <w:r w:rsidR="003F0D3D">
        <w:rPr>
          <w:sz w:val="26"/>
          <w:szCs w:val="26"/>
        </w:rPr>
        <w:t>14165,5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145BD3">
        <w:rPr>
          <w:sz w:val="26"/>
          <w:szCs w:val="26"/>
        </w:rPr>
        <w:t xml:space="preserve"> </w:t>
      </w:r>
      <w:r w:rsidR="003F0D3D">
        <w:rPr>
          <w:sz w:val="26"/>
          <w:szCs w:val="26"/>
        </w:rPr>
        <w:t>7,2</w:t>
      </w:r>
      <w:r w:rsidRPr="002A0421">
        <w:rPr>
          <w:sz w:val="26"/>
          <w:szCs w:val="26"/>
        </w:rPr>
        <w:t>% (</w:t>
      </w:r>
      <w:r w:rsidR="00145BD3">
        <w:rPr>
          <w:sz w:val="26"/>
          <w:szCs w:val="26"/>
        </w:rPr>
        <w:t>1 кв. 202</w:t>
      </w:r>
      <w:r w:rsidR="003F0D3D">
        <w:rPr>
          <w:sz w:val="26"/>
          <w:szCs w:val="26"/>
        </w:rPr>
        <w:t>3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 w:rsidR="00145BD3"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3F0D3D">
        <w:rPr>
          <w:sz w:val="26"/>
          <w:szCs w:val="26"/>
        </w:rPr>
        <w:t>49978,6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10764D">
        <w:rPr>
          <w:sz w:val="26"/>
          <w:szCs w:val="26"/>
        </w:rPr>
        <w:t>2</w:t>
      </w:r>
      <w:r w:rsidR="003F0D3D">
        <w:rPr>
          <w:sz w:val="26"/>
          <w:szCs w:val="26"/>
        </w:rPr>
        <w:t>1,3</w:t>
      </w:r>
      <w:r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3738FF">
        <w:rPr>
          <w:sz w:val="26"/>
          <w:szCs w:val="26"/>
        </w:rPr>
        <w:t>10254,7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3738FF">
        <w:rPr>
          <w:sz w:val="26"/>
          <w:szCs w:val="26"/>
        </w:rPr>
        <w:t>5,2</w:t>
      </w:r>
      <w:r w:rsidRPr="00FE12F0">
        <w:rPr>
          <w:sz w:val="26"/>
          <w:szCs w:val="26"/>
        </w:rPr>
        <w:t>% (</w:t>
      </w:r>
      <w:r w:rsidR="00E02233">
        <w:rPr>
          <w:sz w:val="26"/>
          <w:szCs w:val="26"/>
        </w:rPr>
        <w:t>1 кв. 202</w:t>
      </w:r>
      <w:r w:rsidR="003738FF">
        <w:rPr>
          <w:sz w:val="26"/>
          <w:szCs w:val="26"/>
        </w:rPr>
        <w:t>3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3221D6">
        <w:rPr>
          <w:sz w:val="26"/>
          <w:szCs w:val="26"/>
        </w:rPr>
        <w:t xml:space="preserve">– </w:t>
      </w:r>
      <w:r w:rsidR="003738FF">
        <w:rPr>
          <w:sz w:val="26"/>
          <w:szCs w:val="26"/>
        </w:rPr>
        <w:t>12459,7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–5,</w:t>
      </w:r>
      <w:r w:rsidR="003738FF">
        <w:rPr>
          <w:sz w:val="26"/>
          <w:szCs w:val="26"/>
        </w:rPr>
        <w:t>3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AA4608">
        <w:rPr>
          <w:sz w:val="26"/>
          <w:szCs w:val="26"/>
        </w:rPr>
        <w:t>1</w:t>
      </w:r>
      <w:r w:rsidR="00D57297">
        <w:rPr>
          <w:sz w:val="26"/>
          <w:szCs w:val="26"/>
        </w:rPr>
        <w:t>0254,7</w:t>
      </w:r>
      <w:r w:rsidRPr="001970E3">
        <w:rPr>
          <w:sz w:val="26"/>
          <w:szCs w:val="26"/>
        </w:rPr>
        <w:t xml:space="preserve"> 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AA4608">
        <w:rPr>
          <w:sz w:val="26"/>
          <w:szCs w:val="26"/>
        </w:rPr>
        <w:t>2</w:t>
      </w:r>
      <w:r w:rsidR="00D57297">
        <w:rPr>
          <w:sz w:val="26"/>
          <w:szCs w:val="26"/>
        </w:rPr>
        <w:t>2,7</w:t>
      </w:r>
      <w:r w:rsidRPr="001970E3">
        <w:rPr>
          <w:sz w:val="26"/>
          <w:szCs w:val="26"/>
        </w:rPr>
        <w:t>% от утверждённого годового плана (</w:t>
      </w:r>
      <w:r w:rsidR="00D57297">
        <w:rPr>
          <w:sz w:val="26"/>
          <w:szCs w:val="26"/>
        </w:rPr>
        <w:t>45180,0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D57297">
        <w:rPr>
          <w:sz w:val="26"/>
          <w:szCs w:val="26"/>
        </w:rPr>
        <w:t>5,2</w:t>
      </w:r>
      <w:r w:rsidRPr="001970E3">
        <w:rPr>
          <w:sz w:val="26"/>
          <w:szCs w:val="26"/>
        </w:rPr>
        <w:t xml:space="preserve">% от общей суммы произведенных расходов в </w:t>
      </w:r>
      <w:r w:rsidR="00AA4608">
        <w:rPr>
          <w:sz w:val="26"/>
          <w:szCs w:val="26"/>
        </w:rPr>
        <w:t xml:space="preserve">1 квартале </w:t>
      </w:r>
      <w:r w:rsidRPr="001970E3">
        <w:rPr>
          <w:sz w:val="26"/>
          <w:szCs w:val="26"/>
        </w:rPr>
        <w:t>202</w:t>
      </w:r>
      <w:r w:rsidR="00D57297">
        <w:rPr>
          <w:sz w:val="26"/>
          <w:szCs w:val="26"/>
        </w:rPr>
        <w:t>4</w:t>
      </w:r>
      <w:r w:rsidRPr="001970E3">
        <w:rPr>
          <w:sz w:val="26"/>
          <w:szCs w:val="26"/>
        </w:rPr>
        <w:t xml:space="preserve"> год</w:t>
      </w:r>
      <w:r w:rsidR="007004B0">
        <w:rPr>
          <w:sz w:val="26"/>
          <w:szCs w:val="26"/>
        </w:rPr>
        <w:t>у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D57297">
        <w:rPr>
          <w:sz w:val="26"/>
          <w:szCs w:val="26"/>
        </w:rPr>
        <w:t>3</w:t>
      </w:r>
      <w:r w:rsidR="008D45FF">
        <w:rPr>
          <w:sz w:val="26"/>
          <w:szCs w:val="26"/>
        </w:rPr>
        <w:t xml:space="preserve"> года (</w:t>
      </w:r>
      <w:r w:rsidR="00D57297">
        <w:rPr>
          <w:sz w:val="26"/>
          <w:szCs w:val="26"/>
        </w:rPr>
        <w:t>12459,7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D57297">
        <w:rPr>
          <w:sz w:val="26"/>
          <w:szCs w:val="26"/>
        </w:rPr>
        <w:t>уменьш</w:t>
      </w:r>
      <w:r w:rsidR="008D45FF">
        <w:rPr>
          <w:sz w:val="26"/>
          <w:szCs w:val="26"/>
        </w:rPr>
        <w:t xml:space="preserve">ились на </w:t>
      </w:r>
      <w:r w:rsidR="00D57297">
        <w:rPr>
          <w:sz w:val="26"/>
          <w:szCs w:val="26"/>
        </w:rPr>
        <w:t>2205,0</w:t>
      </w:r>
      <w:r w:rsidR="00056736">
        <w:rPr>
          <w:sz w:val="26"/>
          <w:szCs w:val="26"/>
        </w:rPr>
        <w:t xml:space="preserve"> тыс. рублей</w:t>
      </w:r>
      <w:r w:rsidR="008D45FF">
        <w:rPr>
          <w:sz w:val="26"/>
          <w:szCs w:val="26"/>
        </w:rPr>
        <w:t xml:space="preserve">  или на </w:t>
      </w:r>
      <w:r w:rsidR="00D57297">
        <w:rPr>
          <w:sz w:val="26"/>
          <w:szCs w:val="26"/>
        </w:rPr>
        <w:t>82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3D1B95">
              <w:rPr>
                <w:color w:val="000000"/>
                <w:sz w:val="26"/>
                <w:szCs w:val="26"/>
              </w:rPr>
              <w:t> 166</w:t>
            </w:r>
            <w:r w:rsidR="00FC03D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3D1B95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288,4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3D1B95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24,7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3D1B95">
              <w:rPr>
                <w:color w:val="000000"/>
                <w:sz w:val="26"/>
                <w:szCs w:val="26"/>
              </w:rPr>
              <w:t> 245,1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D1B95">
              <w:rPr>
                <w:color w:val="000000"/>
                <w:sz w:val="26"/>
                <w:szCs w:val="26"/>
              </w:rPr>
              <w:t> 135,7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D1B95">
              <w:rPr>
                <w:color w:val="000000"/>
                <w:sz w:val="26"/>
                <w:szCs w:val="26"/>
              </w:rPr>
              <w:t>6,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3D1B95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20 531,4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671B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D930D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3D1B95">
              <w:rPr>
                <w:color w:val="000000"/>
                <w:sz w:val="26"/>
                <w:szCs w:val="26"/>
              </w:rPr>
              <w:t> 105,0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D1B95">
              <w:rPr>
                <w:color w:val="000000"/>
                <w:sz w:val="26"/>
                <w:szCs w:val="26"/>
              </w:rPr>
              <w:t>4,9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  <w:r w:rsidR="0085251B">
              <w:rPr>
                <w:color w:val="000000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671B1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3</w:t>
            </w:r>
            <w:r w:rsidR="00671B1B">
              <w:rPr>
                <w:color w:val="000000"/>
                <w:sz w:val="26"/>
                <w:szCs w:val="26"/>
              </w:rPr>
              <w:t>36,9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Pr="004D6C30" w:rsidRDefault="00671B1B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1 391,4          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671B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1 708,9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671B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16,5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975EA8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671B1B">
              <w:rPr>
                <w:color w:val="000000"/>
                <w:sz w:val="26"/>
                <w:szCs w:val="26"/>
              </w:rPr>
              <w:t>20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BA2CC2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</w:t>
            </w:r>
            <w:r w:rsidR="00671B1B">
              <w:rPr>
                <w:color w:val="000000"/>
                <w:sz w:val="26"/>
                <w:szCs w:val="26"/>
              </w:rPr>
              <w:t>371</w:t>
            </w:r>
            <w:r>
              <w:rPr>
                <w:color w:val="000000"/>
                <w:sz w:val="26"/>
                <w:szCs w:val="26"/>
              </w:rPr>
              <w:t>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71B1B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A2CC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016</w:t>
            </w:r>
            <w:r w:rsidR="00BA2CC2">
              <w:rPr>
                <w:color w:val="000000"/>
                <w:sz w:val="26"/>
                <w:szCs w:val="26"/>
              </w:rPr>
              <w:t>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BA2CC2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1B1B"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671B1B">
              <w:rPr>
                <w:rStyle w:val="aa"/>
                <w:color w:val="000000"/>
                <w:sz w:val="26"/>
                <w:szCs w:val="26"/>
              </w:rPr>
              <w:t>5</w:t>
            </w:r>
            <w:r w:rsidR="006A79A3">
              <w:rPr>
                <w:rStyle w:val="aa"/>
                <w:color w:val="000000"/>
                <w:sz w:val="26"/>
                <w:szCs w:val="26"/>
              </w:rPr>
              <w:t> </w:t>
            </w:r>
            <w:r w:rsidR="00671B1B">
              <w:rPr>
                <w:rStyle w:val="aa"/>
                <w:color w:val="000000"/>
                <w:sz w:val="26"/>
                <w:szCs w:val="26"/>
              </w:rPr>
              <w:t>180</w:t>
            </w:r>
            <w:r w:rsidR="006A79A3">
              <w:rPr>
                <w:rStyle w:val="aa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A79A3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aa"/>
                <w:color w:val="000000"/>
                <w:sz w:val="26"/>
                <w:szCs w:val="26"/>
              </w:rPr>
              <w:t>1</w:t>
            </w:r>
            <w:r w:rsidR="00671B1B">
              <w:rPr>
                <w:rStyle w:val="aa"/>
                <w:color w:val="000000"/>
                <w:sz w:val="26"/>
                <w:szCs w:val="26"/>
              </w:rPr>
              <w:t>0 254,7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6A79A3" w:rsidP="00671B1B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671B1B">
              <w:rPr>
                <w:b/>
                <w:color w:val="000000"/>
                <w:sz w:val="26"/>
                <w:szCs w:val="26"/>
              </w:rPr>
              <w:t>2</w:t>
            </w:r>
            <w:r w:rsidR="0057129B" w:rsidRPr="0057129B">
              <w:rPr>
                <w:b/>
                <w:color w:val="000000"/>
                <w:sz w:val="26"/>
                <w:szCs w:val="26"/>
              </w:rPr>
              <w:t>,</w:t>
            </w:r>
            <w:r w:rsidR="00671B1B"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FA69C9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8B3E9F">
        <w:rPr>
          <w:sz w:val="26"/>
          <w:szCs w:val="26"/>
        </w:rPr>
        <w:t>4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8B3E9F">
        <w:rPr>
          <w:sz w:val="26"/>
          <w:szCs w:val="26"/>
        </w:rPr>
        <w:t>250,3</w:t>
      </w:r>
      <w:r w:rsidR="006A7344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>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D57FC2">
        <w:rPr>
          <w:sz w:val="26"/>
          <w:szCs w:val="26"/>
        </w:rPr>
        <w:t>2</w:t>
      </w:r>
      <w:r w:rsidR="00A670A2">
        <w:rPr>
          <w:sz w:val="26"/>
          <w:szCs w:val="26"/>
        </w:rPr>
        <w:t>28,5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A670A2">
        <w:rPr>
          <w:sz w:val="26"/>
          <w:szCs w:val="26"/>
        </w:rPr>
        <w:t>3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A670A2">
        <w:rPr>
          <w:sz w:val="26"/>
          <w:szCs w:val="26"/>
        </w:rPr>
        <w:t>м</w:t>
      </w:r>
      <w:r w:rsidR="00177300">
        <w:rPr>
          <w:sz w:val="26"/>
          <w:szCs w:val="26"/>
        </w:rPr>
        <w:t>е</w:t>
      </w:r>
      <w:r w:rsidR="00A670A2">
        <w:rPr>
          <w:sz w:val="26"/>
          <w:szCs w:val="26"/>
        </w:rPr>
        <w:t>ньше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D57FC2">
        <w:rPr>
          <w:sz w:val="26"/>
          <w:szCs w:val="26"/>
        </w:rPr>
        <w:t>6</w:t>
      </w:r>
      <w:r w:rsidR="00A670A2">
        <w:rPr>
          <w:sz w:val="26"/>
          <w:szCs w:val="26"/>
        </w:rPr>
        <w:t>0,8</w:t>
      </w:r>
      <w:r w:rsidR="00D57FC2">
        <w:rPr>
          <w:sz w:val="26"/>
          <w:szCs w:val="26"/>
        </w:rPr>
        <w:t xml:space="preserve"> тыс. рублей</w:t>
      </w:r>
      <w:r w:rsidR="00A670A2">
        <w:rPr>
          <w:sz w:val="26"/>
          <w:szCs w:val="26"/>
        </w:rPr>
        <w:t xml:space="preserve">, в связи с </w:t>
      </w:r>
      <w:proofErr w:type="gramStart"/>
      <w:r w:rsidR="00A670A2">
        <w:rPr>
          <w:sz w:val="26"/>
          <w:szCs w:val="26"/>
        </w:rPr>
        <w:t>не поступлением</w:t>
      </w:r>
      <w:proofErr w:type="gramEnd"/>
      <w:r w:rsidR="00A670A2">
        <w:rPr>
          <w:sz w:val="26"/>
          <w:szCs w:val="26"/>
        </w:rPr>
        <w:t xml:space="preserve"> финансирования из республиканского бюджета</w:t>
      </w:r>
      <w:r w:rsidR="00C028DD">
        <w:rPr>
          <w:sz w:val="26"/>
          <w:szCs w:val="26"/>
        </w:rPr>
        <w:t xml:space="preserve"> за март месяц</w:t>
      </w:r>
      <w:r w:rsidR="00391FF5">
        <w:rPr>
          <w:sz w:val="26"/>
          <w:szCs w:val="26"/>
        </w:rPr>
        <w:t xml:space="preserve"> 2024 года</w:t>
      </w:r>
      <w:r w:rsidR="00A670A2">
        <w:rPr>
          <w:sz w:val="26"/>
          <w:szCs w:val="26"/>
        </w:rPr>
        <w:t>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C25429">
        <w:rPr>
          <w:sz w:val="26"/>
          <w:szCs w:val="26"/>
        </w:rPr>
        <w:t>584,6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C25429">
        <w:rPr>
          <w:sz w:val="26"/>
          <w:szCs w:val="26"/>
        </w:rPr>
        <w:t>574,6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C25429">
        <w:rPr>
          <w:sz w:val="26"/>
          <w:szCs w:val="26"/>
        </w:rPr>
        <w:t>3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C25429">
        <w:rPr>
          <w:sz w:val="26"/>
          <w:szCs w:val="26"/>
        </w:rPr>
        <w:t>96,0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C25429">
        <w:rPr>
          <w:sz w:val="26"/>
          <w:szCs w:val="26"/>
        </w:rPr>
        <w:t>рублей</w:t>
      </w:r>
      <w:r w:rsidR="006F484E">
        <w:rPr>
          <w:sz w:val="26"/>
          <w:szCs w:val="26"/>
        </w:rPr>
        <w:t>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006951">
        <w:rPr>
          <w:sz w:val="26"/>
          <w:szCs w:val="26"/>
        </w:rPr>
        <w:t xml:space="preserve"> раздела </w:t>
      </w:r>
      <w:proofErr w:type="gramStart"/>
      <w:r w:rsidR="00006951">
        <w:rPr>
          <w:sz w:val="26"/>
          <w:szCs w:val="26"/>
        </w:rPr>
        <w:t>профинансированы</w:t>
      </w:r>
      <w:proofErr w:type="gramEnd"/>
      <w:r w:rsidR="00006951">
        <w:rPr>
          <w:sz w:val="26"/>
          <w:szCs w:val="26"/>
        </w:rPr>
        <w:t xml:space="preserve"> 10,1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2A1D4D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04D84">
        <w:rPr>
          <w:color w:val="000000"/>
          <w:sz w:val="26"/>
          <w:szCs w:val="26"/>
        </w:rPr>
        <w:t xml:space="preserve"> 1 квартал </w:t>
      </w:r>
      <w:r w:rsidRPr="0019075C">
        <w:rPr>
          <w:color w:val="000000"/>
          <w:sz w:val="26"/>
          <w:szCs w:val="26"/>
        </w:rPr>
        <w:t>202</w:t>
      </w:r>
      <w:r w:rsidR="002A0405">
        <w:rPr>
          <w:color w:val="000000"/>
          <w:sz w:val="26"/>
          <w:szCs w:val="26"/>
        </w:rPr>
        <w:t>4</w:t>
      </w:r>
      <w:r w:rsidR="00FA4E11">
        <w:rPr>
          <w:color w:val="000000"/>
          <w:sz w:val="26"/>
          <w:szCs w:val="26"/>
        </w:rPr>
        <w:t xml:space="preserve"> год</w:t>
      </w:r>
      <w:r w:rsidR="00704D84">
        <w:rPr>
          <w:color w:val="000000"/>
          <w:sz w:val="26"/>
          <w:szCs w:val="26"/>
        </w:rPr>
        <w:t>а соста</w:t>
      </w:r>
      <w:r w:rsidR="002A0405">
        <w:rPr>
          <w:color w:val="000000"/>
          <w:sz w:val="26"/>
          <w:szCs w:val="26"/>
        </w:rPr>
        <w:t>вила 16570,7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2A0405">
        <w:rPr>
          <w:color w:val="000000"/>
          <w:sz w:val="26"/>
          <w:szCs w:val="26"/>
        </w:rPr>
        <w:t>1410,4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2A0405">
        <w:rPr>
          <w:color w:val="000000"/>
          <w:sz w:val="26"/>
          <w:szCs w:val="26"/>
        </w:rPr>
        <w:t>8,5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2A0405">
        <w:rPr>
          <w:color w:val="000000"/>
          <w:sz w:val="26"/>
          <w:szCs w:val="26"/>
        </w:rPr>
        <w:t>одов составил 0,7</w:t>
      </w:r>
      <w:r w:rsidRPr="0019075C">
        <w:rPr>
          <w:color w:val="000000"/>
          <w:sz w:val="26"/>
          <w:szCs w:val="26"/>
        </w:rPr>
        <w:t>%.</w:t>
      </w:r>
    </w:p>
    <w:p w:rsidR="004269E4" w:rsidRDefault="0019075C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 </w:t>
      </w:r>
      <w:r w:rsidR="002A1D4D">
        <w:rPr>
          <w:color w:val="000000"/>
          <w:sz w:val="26"/>
          <w:szCs w:val="26"/>
        </w:rPr>
        <w:t xml:space="preserve">         В этом разделе функцио</w:t>
      </w:r>
      <w:r w:rsidR="008E0462">
        <w:rPr>
          <w:color w:val="000000"/>
          <w:sz w:val="26"/>
          <w:szCs w:val="26"/>
        </w:rPr>
        <w:t>нирует 5 муниципальных программ, в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2B1362">
        <w:rPr>
          <w:rFonts w:ascii="TimesNewRomanPSMT" w:hAnsi="TimesNewRomanPSMT"/>
          <w:color w:val="000000"/>
          <w:sz w:val="26"/>
          <w:szCs w:val="26"/>
        </w:rPr>
        <w:t xml:space="preserve">ены денежные средства на </w:t>
      </w:r>
      <w:r w:rsidR="0077645B">
        <w:rPr>
          <w:rFonts w:ascii="TimesNewRomanPSMT" w:hAnsi="TimesNewRomanPSMT"/>
          <w:color w:val="000000"/>
          <w:sz w:val="26"/>
          <w:szCs w:val="26"/>
        </w:rPr>
        <w:t>3</w:t>
      </w:r>
      <w:r w:rsidR="002A1D4D">
        <w:rPr>
          <w:rFonts w:ascii="TimesNewRomanPSMT" w:hAnsi="TimesNewRomanPSMT"/>
          <w:color w:val="000000"/>
          <w:sz w:val="26"/>
          <w:szCs w:val="26"/>
        </w:rPr>
        <w:t>93,8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>сравнению с аналогичным периодом 202</w:t>
      </w:r>
      <w:r w:rsidR="002A1D4D">
        <w:rPr>
          <w:sz w:val="26"/>
          <w:szCs w:val="26"/>
        </w:rPr>
        <w:t>3</w:t>
      </w:r>
      <w:r w:rsidR="004269E4">
        <w:rPr>
          <w:sz w:val="26"/>
          <w:szCs w:val="26"/>
        </w:rPr>
        <w:t xml:space="preserve"> года произошло </w:t>
      </w:r>
      <w:r w:rsidR="00E905C6">
        <w:rPr>
          <w:sz w:val="26"/>
          <w:szCs w:val="26"/>
        </w:rPr>
        <w:t>сниж</w:t>
      </w:r>
      <w:r w:rsidR="004269E4">
        <w:rPr>
          <w:sz w:val="26"/>
          <w:szCs w:val="26"/>
        </w:rPr>
        <w:t xml:space="preserve">ение на сумму </w:t>
      </w:r>
      <w:r w:rsidR="0077645B">
        <w:rPr>
          <w:sz w:val="26"/>
          <w:szCs w:val="26"/>
        </w:rPr>
        <w:t>1401,3</w:t>
      </w:r>
      <w:r w:rsidR="004269E4">
        <w:rPr>
          <w:sz w:val="26"/>
          <w:szCs w:val="26"/>
        </w:rPr>
        <w:t xml:space="preserve"> тыс. рублей</w:t>
      </w:r>
      <w:r w:rsidR="0077645B">
        <w:rPr>
          <w:sz w:val="26"/>
          <w:szCs w:val="26"/>
        </w:rPr>
        <w:t xml:space="preserve"> (1795,1</w:t>
      </w:r>
      <w:r w:rsidR="00E905C6">
        <w:rPr>
          <w:sz w:val="26"/>
          <w:szCs w:val="26"/>
        </w:rPr>
        <w:t xml:space="preserve"> тыс. рублей).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77645B">
        <w:rPr>
          <w:rFonts w:ascii="TimesNewRomanPSMT" w:hAnsi="TimesNewRomanPSMT"/>
          <w:color w:val="000000"/>
          <w:sz w:val="26"/>
          <w:szCs w:val="26"/>
        </w:rPr>
        <w:t>Из них р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>доро</w:t>
      </w:r>
      <w:r w:rsidR="0077645B">
        <w:rPr>
          <w:rFonts w:ascii="TimesNewRomanPSMT" w:hAnsi="TimesNewRomanPSMT"/>
          <w:color w:val="000000"/>
          <w:sz w:val="26"/>
          <w:szCs w:val="26"/>
        </w:rPr>
        <w:t>жному фонду составили 200,0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77645B">
        <w:rPr>
          <w:rFonts w:ascii="TimesNewRomanPSMT" w:hAnsi="TimesNewRomanPSMT"/>
          <w:color w:val="000000"/>
          <w:sz w:val="26"/>
          <w:szCs w:val="26"/>
        </w:rPr>
        <w:t xml:space="preserve"> или на 1,9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 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В рамках реализации мероприятий</w:t>
      </w:r>
      <w:r w:rsidR="0077645B">
        <w:rPr>
          <w:rFonts w:ascii="TimesNewRomanPSMT" w:hAnsi="TimesNewRomanPSMT"/>
          <w:color w:val="000000"/>
          <w:sz w:val="26"/>
          <w:szCs w:val="26"/>
        </w:rPr>
        <w:t xml:space="preserve"> этой программы профинансирована</w:t>
      </w:r>
      <w:r w:rsidR="0077645B">
        <w:rPr>
          <w:rFonts w:ascii="TimesNewRomanPSMT" w:hAnsi="TimesNewRomanPSMT"/>
          <w:color w:val="000000"/>
          <w:sz w:val="26"/>
          <w:szCs w:val="26"/>
        </w:rPr>
        <w:br/>
        <w:t>работа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77645B">
        <w:rPr>
          <w:rFonts w:ascii="TimesNewRomanPSMT" w:hAnsi="TimesNewRomanPSMT"/>
          <w:color w:val="000000"/>
          <w:sz w:val="26"/>
          <w:szCs w:val="26"/>
        </w:rPr>
        <w:t>по очистке дорог от снега</w:t>
      </w:r>
      <w:r w:rsidRPr="00FE1F3B">
        <w:rPr>
          <w:rFonts w:ascii="TimesNewRomanPSMT" w:hAnsi="TimesNewRomanPSMT"/>
          <w:color w:val="000000"/>
          <w:sz w:val="26"/>
          <w:szCs w:val="26"/>
        </w:rPr>
        <w:t>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F202B5">
        <w:rPr>
          <w:color w:val="000000"/>
          <w:sz w:val="26"/>
          <w:szCs w:val="26"/>
        </w:rPr>
        <w:t>5463,4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F202B5">
        <w:rPr>
          <w:color w:val="000000"/>
          <w:sz w:val="26"/>
          <w:szCs w:val="26"/>
        </w:rPr>
        <w:t>1078,7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F202B5">
        <w:rPr>
          <w:color w:val="000000"/>
          <w:sz w:val="26"/>
          <w:szCs w:val="26"/>
        </w:rPr>
        <w:t>19,7</w:t>
      </w:r>
      <w:r w:rsidR="004A08DF">
        <w:rPr>
          <w:color w:val="000000"/>
          <w:sz w:val="26"/>
          <w:szCs w:val="26"/>
        </w:rPr>
        <w:t>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F202B5">
        <w:rPr>
          <w:color w:val="000000"/>
          <w:sz w:val="26"/>
          <w:szCs w:val="26"/>
        </w:rPr>
        <w:t>10399,3</w:t>
      </w:r>
      <w:r w:rsidR="004A08DF">
        <w:rPr>
          <w:color w:val="000000"/>
          <w:sz w:val="26"/>
          <w:szCs w:val="26"/>
        </w:rPr>
        <w:t xml:space="preserve">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F202B5">
        <w:rPr>
          <w:color w:val="000000"/>
          <w:sz w:val="26"/>
          <w:szCs w:val="26"/>
        </w:rPr>
        <w:t>200,0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- 0410 «Связь и информатика» - в сумме </w:t>
      </w:r>
      <w:r w:rsidR="00F202B5">
        <w:rPr>
          <w:color w:val="000000"/>
          <w:sz w:val="26"/>
          <w:szCs w:val="26"/>
        </w:rPr>
        <w:t>123,0</w:t>
      </w:r>
      <w:r>
        <w:rPr>
          <w:color w:val="000000"/>
          <w:sz w:val="26"/>
          <w:szCs w:val="26"/>
        </w:rPr>
        <w:t xml:space="preserve"> тыс. рублей, (исполнено 2</w:t>
      </w:r>
      <w:r w:rsidR="00F202B5">
        <w:rPr>
          <w:color w:val="000000"/>
          <w:sz w:val="26"/>
          <w:szCs w:val="26"/>
        </w:rPr>
        <w:t>9,3 тыс. рублей – 23,8</w:t>
      </w:r>
      <w:r>
        <w:rPr>
          <w:color w:val="000000"/>
          <w:sz w:val="26"/>
          <w:szCs w:val="26"/>
        </w:rPr>
        <w:t>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CC2B33">
        <w:rPr>
          <w:color w:val="000000"/>
          <w:sz w:val="26"/>
          <w:szCs w:val="26"/>
        </w:rPr>
        <w:t>585,0</w:t>
      </w:r>
      <w:r w:rsidRPr="0019075C">
        <w:rPr>
          <w:color w:val="000000"/>
          <w:sz w:val="26"/>
          <w:szCs w:val="26"/>
        </w:rPr>
        <w:t xml:space="preserve"> тыс.</w:t>
      </w:r>
      <w:r w:rsidR="00CC2B33">
        <w:rPr>
          <w:color w:val="000000"/>
          <w:sz w:val="26"/>
          <w:szCs w:val="26"/>
        </w:rPr>
        <w:t xml:space="preserve"> рублей, (исполнено 102,5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CC2B33">
        <w:rPr>
          <w:color w:val="000000"/>
          <w:sz w:val="26"/>
          <w:szCs w:val="26"/>
        </w:rPr>
        <w:t>17,5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 xml:space="preserve"> </w:t>
      </w:r>
    </w:p>
    <w:p w:rsidR="00E90195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7933E9">
        <w:rPr>
          <w:bCs/>
          <w:iCs/>
          <w:sz w:val="26"/>
          <w:szCs w:val="26"/>
        </w:rPr>
        <w:t>865,8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руб</w:t>
      </w:r>
      <w:r w:rsidR="00D16E21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 или </w:t>
      </w:r>
      <w:r w:rsidR="007933E9">
        <w:rPr>
          <w:bCs/>
          <w:iCs/>
          <w:sz w:val="26"/>
          <w:szCs w:val="26"/>
        </w:rPr>
        <w:t>6,2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82224C">
        <w:rPr>
          <w:bCs/>
          <w:iCs/>
          <w:sz w:val="26"/>
          <w:szCs w:val="26"/>
        </w:rPr>
        <w:t>, функционируют 2 муниципальные программы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</w:p>
    <w:p w:rsidR="0082224C" w:rsidRDefault="00F9170E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19075C">
        <w:rPr>
          <w:color w:val="000000"/>
          <w:sz w:val="26"/>
          <w:szCs w:val="26"/>
        </w:rPr>
        <w:lastRenderedPageBreak/>
        <w:t>Удельный вес произведенных расходов в общем объеме</w:t>
      </w:r>
      <w:r w:rsidR="007933E9">
        <w:rPr>
          <w:color w:val="000000"/>
          <w:sz w:val="26"/>
          <w:szCs w:val="26"/>
        </w:rPr>
        <w:t xml:space="preserve"> бюджетных расходов составил 0,4</w:t>
      </w:r>
      <w:r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7933E9">
        <w:rPr>
          <w:bCs/>
          <w:iCs/>
          <w:sz w:val="26"/>
          <w:szCs w:val="26"/>
        </w:rPr>
        <w:t>2958,5</w:t>
      </w:r>
      <w:r w:rsidR="00B27C0B"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, что на </w:t>
      </w:r>
      <w:r w:rsidR="007933E9">
        <w:rPr>
          <w:bCs/>
          <w:iCs/>
          <w:sz w:val="26"/>
          <w:szCs w:val="26"/>
        </w:rPr>
        <w:t>2092,7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7933E9">
        <w:rPr>
          <w:bCs/>
          <w:iCs/>
          <w:sz w:val="26"/>
          <w:szCs w:val="26"/>
        </w:rPr>
        <w:t>29,3</w:t>
      </w:r>
      <w:r w:rsidR="00EC617C">
        <w:rPr>
          <w:bCs/>
          <w:iCs/>
          <w:sz w:val="26"/>
          <w:szCs w:val="26"/>
        </w:rPr>
        <w:t xml:space="preserve">% </w:t>
      </w:r>
      <w:r w:rsidR="007933E9">
        <w:rPr>
          <w:bCs/>
          <w:iCs/>
          <w:sz w:val="26"/>
          <w:szCs w:val="26"/>
        </w:rPr>
        <w:t>мень</w:t>
      </w:r>
      <w:r w:rsidR="00B27C0B" w:rsidRPr="00B27C0B">
        <w:rPr>
          <w:bCs/>
          <w:iCs/>
          <w:sz w:val="26"/>
          <w:szCs w:val="26"/>
        </w:rPr>
        <w:t xml:space="preserve">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7933E9">
        <w:rPr>
          <w:bCs/>
          <w:iCs/>
          <w:sz w:val="26"/>
          <w:szCs w:val="26"/>
        </w:rPr>
        <w:t xml:space="preserve"> года</w:t>
      </w:r>
      <w:r w:rsidR="00897D22" w:rsidRPr="00897D22">
        <w:rPr>
          <w:color w:val="000000"/>
          <w:sz w:val="26"/>
          <w:szCs w:val="26"/>
        </w:rPr>
        <w:t>.</w:t>
      </w:r>
      <w:r w:rsidR="0082224C" w:rsidRPr="0082224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2224C" w:rsidRPr="00FE1F3B">
        <w:rPr>
          <w:rFonts w:ascii="TimesNewRomanPSMT" w:hAnsi="TimesNewRomanPSMT"/>
          <w:color w:val="000000"/>
          <w:sz w:val="26"/>
          <w:szCs w:val="26"/>
        </w:rPr>
        <w:t>В рамках реализации мероприятий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первой программы профинансированы</w:t>
      </w:r>
      <w:r w:rsidR="0082224C">
        <w:rPr>
          <w:rFonts w:ascii="TimesNewRomanPSMT" w:hAnsi="TimesNewRomanPSMT"/>
          <w:color w:val="000000"/>
          <w:sz w:val="26"/>
          <w:szCs w:val="26"/>
        </w:rPr>
        <w:br/>
        <w:t xml:space="preserve">расходы по оплате электроэнергии </w:t>
      </w:r>
      <w:proofErr w:type="spellStart"/>
      <w:r w:rsidR="0082224C">
        <w:rPr>
          <w:rFonts w:ascii="TimesNewRomanPSMT" w:hAnsi="TimesNewRomanPSMT"/>
          <w:color w:val="000000"/>
          <w:sz w:val="26"/>
          <w:szCs w:val="26"/>
        </w:rPr>
        <w:t>водоколонок</w:t>
      </w:r>
      <w:proofErr w:type="spell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422,7 тыс. рублей и на приобретение генератора на сумму 50,0 тыс. рублей, выделена стоимость ПСД по проекту ФКГС села </w:t>
      </w:r>
      <w:proofErr w:type="gramStart"/>
      <w:r w:rsidR="0082224C">
        <w:rPr>
          <w:rFonts w:ascii="TimesNewRomanPSMT" w:hAnsi="TimesNewRomanPSMT"/>
          <w:color w:val="000000"/>
          <w:sz w:val="26"/>
          <w:szCs w:val="26"/>
        </w:rPr>
        <w:t>Берт-</w:t>
      </w:r>
      <w:proofErr w:type="spellStart"/>
      <w:r w:rsidR="0082224C">
        <w:rPr>
          <w:rFonts w:ascii="TimesNewRomanPSMT" w:hAnsi="TimesNewRomanPSMT"/>
          <w:color w:val="000000"/>
          <w:sz w:val="26"/>
          <w:szCs w:val="26"/>
        </w:rPr>
        <w:t>Даг</w:t>
      </w:r>
      <w:proofErr w:type="spellEnd"/>
      <w:proofErr w:type="gram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70,0 тыс. рублей. </w:t>
      </w:r>
      <w:r w:rsidR="00897D22">
        <w:rPr>
          <w:color w:val="000000"/>
          <w:sz w:val="26"/>
          <w:szCs w:val="26"/>
        </w:rPr>
        <w:t xml:space="preserve">В рамках национального проекта «Формирование комфортной городской среды»  </w:t>
      </w:r>
      <w:r w:rsidR="00EB6804">
        <w:rPr>
          <w:color w:val="000000"/>
          <w:sz w:val="26"/>
          <w:szCs w:val="26"/>
        </w:rPr>
        <w:t xml:space="preserve">будет </w:t>
      </w:r>
      <w:r w:rsidR="00897D22">
        <w:rPr>
          <w:color w:val="000000"/>
          <w:sz w:val="26"/>
          <w:szCs w:val="26"/>
        </w:rPr>
        <w:t>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 xml:space="preserve">детско-спортивная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897D22" w:rsidRPr="00897D22">
        <w:rPr>
          <w:color w:val="000000"/>
          <w:sz w:val="26"/>
          <w:szCs w:val="26"/>
        </w:rPr>
        <w:t xml:space="preserve"> </w:t>
      </w:r>
      <w:proofErr w:type="gramStart"/>
      <w:r w:rsidR="00EB6804">
        <w:rPr>
          <w:color w:val="000000"/>
          <w:sz w:val="26"/>
          <w:szCs w:val="26"/>
        </w:rPr>
        <w:t>Берт-</w:t>
      </w:r>
      <w:proofErr w:type="spellStart"/>
      <w:r w:rsidR="00EB6804">
        <w:rPr>
          <w:color w:val="000000"/>
          <w:sz w:val="26"/>
          <w:szCs w:val="26"/>
        </w:rPr>
        <w:t>Даг</w:t>
      </w:r>
      <w:proofErr w:type="spellEnd"/>
      <w:proofErr w:type="gramEnd"/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EB6804">
        <w:rPr>
          <w:color w:val="000000"/>
          <w:sz w:val="26"/>
          <w:szCs w:val="26"/>
        </w:rPr>
        <w:t>2042,0 тыс. рублей</w:t>
      </w:r>
      <w:r w:rsidR="00897D22" w:rsidRPr="00897D22">
        <w:rPr>
          <w:color w:val="000000"/>
          <w:sz w:val="26"/>
          <w:szCs w:val="26"/>
        </w:rPr>
        <w:t xml:space="preserve">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 xml:space="preserve">. за счет </w:t>
      </w:r>
      <w:r w:rsidR="00102BD4">
        <w:rPr>
          <w:color w:val="000000"/>
          <w:sz w:val="26"/>
          <w:szCs w:val="26"/>
        </w:rPr>
        <w:t>средств федерального бюджета – 2000,0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 xml:space="preserve">чет </w:t>
      </w:r>
      <w:r w:rsidR="0082224C">
        <w:rPr>
          <w:color w:val="000000"/>
          <w:sz w:val="26"/>
          <w:szCs w:val="26"/>
        </w:rPr>
        <w:t xml:space="preserve">средств </w:t>
      </w:r>
      <w:r w:rsidR="00102BD4">
        <w:rPr>
          <w:color w:val="000000"/>
          <w:sz w:val="26"/>
          <w:szCs w:val="26"/>
        </w:rPr>
        <w:t>республиканского бюджета – 21</w:t>
      </w:r>
      <w:r w:rsidR="00897D22" w:rsidRPr="00897D22">
        <w:rPr>
          <w:color w:val="000000"/>
          <w:sz w:val="26"/>
          <w:szCs w:val="26"/>
        </w:rPr>
        <w:t>,0 тыс. руб</w:t>
      </w:r>
      <w:r w:rsidR="00102BD4">
        <w:rPr>
          <w:color w:val="000000"/>
          <w:sz w:val="26"/>
          <w:szCs w:val="26"/>
        </w:rPr>
        <w:t>лей и 21,0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 бюджета</w:t>
      </w:r>
      <w:r w:rsid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</w:p>
    <w:p w:rsidR="007F3B22" w:rsidRDefault="0082224C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</w:t>
      </w:r>
      <w:r w:rsidR="007F3B22"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AC638A">
        <w:rPr>
          <w:sz w:val="26"/>
          <w:szCs w:val="26"/>
        </w:rPr>
        <w:t>74,1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AC638A">
        <w:rPr>
          <w:sz w:val="26"/>
          <w:szCs w:val="26"/>
        </w:rPr>
        <w:t>146177,1</w:t>
      </w:r>
      <w:r w:rsidRPr="007F3B22">
        <w:rPr>
          <w:sz w:val="26"/>
          <w:szCs w:val="26"/>
        </w:rPr>
        <w:t xml:space="preserve"> тыс.</w:t>
      </w:r>
      <w:r w:rsidR="00AC638A">
        <w:rPr>
          <w:sz w:val="26"/>
          <w:szCs w:val="26"/>
        </w:rPr>
        <w:t xml:space="preserve"> рублей, что составило 23,7</w:t>
      </w:r>
      <w:r w:rsidRPr="007F3B22">
        <w:rPr>
          <w:sz w:val="26"/>
          <w:szCs w:val="26"/>
        </w:rPr>
        <w:t>% от плановых назначений на текущий год (</w:t>
      </w:r>
      <w:r w:rsidR="00AC638A">
        <w:rPr>
          <w:sz w:val="26"/>
          <w:szCs w:val="26"/>
        </w:rPr>
        <w:t>616228,2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AC638A">
        <w:rPr>
          <w:sz w:val="26"/>
          <w:szCs w:val="26"/>
        </w:rPr>
        <w:t>3</w:t>
      </w:r>
      <w:r w:rsidRPr="007F3B22">
        <w:rPr>
          <w:sz w:val="26"/>
          <w:szCs w:val="26"/>
        </w:rPr>
        <w:t>  года (</w:t>
      </w:r>
      <w:r w:rsidR="00AC638A">
        <w:rPr>
          <w:sz w:val="26"/>
          <w:szCs w:val="26"/>
        </w:rPr>
        <w:t>143861,4</w:t>
      </w:r>
      <w:r w:rsidRPr="007F3B22">
        <w:rPr>
          <w:sz w:val="26"/>
          <w:szCs w:val="26"/>
        </w:rPr>
        <w:t xml:space="preserve"> тыс.</w:t>
      </w:r>
      <w:r w:rsidR="00AC638A">
        <w:rPr>
          <w:sz w:val="26"/>
          <w:szCs w:val="26"/>
        </w:rPr>
        <w:t xml:space="preserve"> рублей – 29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B9064A">
        <w:rPr>
          <w:sz w:val="26"/>
          <w:szCs w:val="26"/>
        </w:rPr>
        <w:t>2315,7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B9064A">
        <w:rPr>
          <w:sz w:val="26"/>
          <w:szCs w:val="26"/>
        </w:rPr>
        <w:t>101,6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9064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185 966,7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B9064A" w:rsidP="0030425A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42 138,6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E6F89" w:rsidP="00B9064A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906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,7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9064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379 120,2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B9064A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93 194,6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B9064A" w:rsidP="008E6F8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24,6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15 377,7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6F89">
              <w:rPr>
                <w:sz w:val="26"/>
                <w:szCs w:val="26"/>
              </w:rPr>
              <w:t>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4 036,0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A615B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7 186,4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6F2B7B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28 527,2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6 807,9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A615B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23,9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A615B2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616 228,2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A615B2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146 177,1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A615B2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23,7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AE7587">
        <w:rPr>
          <w:sz w:val="26"/>
          <w:szCs w:val="26"/>
        </w:rPr>
        <w:t>ых учреждений составили 42138,6</w:t>
      </w:r>
      <w:r w:rsidR="00CD1CE4">
        <w:rPr>
          <w:sz w:val="26"/>
          <w:szCs w:val="26"/>
        </w:rPr>
        <w:t xml:space="preserve"> тыс. </w:t>
      </w:r>
      <w:r w:rsidR="00AE7587">
        <w:rPr>
          <w:sz w:val="26"/>
          <w:szCs w:val="26"/>
        </w:rPr>
        <w:t>рублей (22,7</w:t>
      </w:r>
      <w:r w:rsidRPr="0097110B">
        <w:rPr>
          <w:sz w:val="26"/>
          <w:szCs w:val="26"/>
        </w:rPr>
        <w:t xml:space="preserve">% от </w:t>
      </w:r>
      <w:r w:rsidR="00AE7587">
        <w:rPr>
          <w:sz w:val="26"/>
          <w:szCs w:val="26"/>
        </w:rPr>
        <w:lastRenderedPageBreak/>
        <w:t>плановых назначений), по сравнению с аналогичным периодом 2023 года расходы снизились на 456,8 тыс. рублей или на 98,9%.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Pr="0097110B">
        <w:rPr>
          <w:sz w:val="26"/>
          <w:szCs w:val="26"/>
        </w:rPr>
        <w:t xml:space="preserve"> </w:t>
      </w:r>
      <w:r w:rsidR="00CD1CE4">
        <w:rPr>
          <w:sz w:val="26"/>
          <w:szCs w:val="26"/>
        </w:rPr>
        <w:t>текуще</w:t>
      </w:r>
      <w:r w:rsidRPr="0097110B">
        <w:rPr>
          <w:sz w:val="26"/>
          <w:szCs w:val="26"/>
        </w:rPr>
        <w:t xml:space="preserve">го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94127B">
        <w:rPr>
          <w:sz w:val="26"/>
          <w:szCs w:val="26"/>
        </w:rPr>
        <w:t>о 308,52 штатных единиц: из них 104,07</w:t>
      </w:r>
      <w:r w:rsidRPr="0097110B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78 воспитателе</w:t>
      </w:r>
      <w:r w:rsidR="0094127B">
        <w:rPr>
          <w:sz w:val="26"/>
          <w:szCs w:val="26"/>
        </w:rPr>
        <w:t>й, 9 руководящих работников, 195,45</w:t>
      </w:r>
      <w:r w:rsidRPr="0097110B">
        <w:rPr>
          <w:sz w:val="26"/>
          <w:szCs w:val="26"/>
        </w:rPr>
        <w:t xml:space="preserve"> прочих работников. Общая штатная численность не изменилась, на уровне 202</w:t>
      </w:r>
      <w:r w:rsidR="00C4252B">
        <w:rPr>
          <w:sz w:val="26"/>
          <w:szCs w:val="26"/>
        </w:rPr>
        <w:t>3</w:t>
      </w:r>
      <w:r w:rsidRPr="0097110B">
        <w:rPr>
          <w:sz w:val="26"/>
          <w:szCs w:val="26"/>
        </w:rPr>
        <w:t xml:space="preserve"> года.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21524E">
        <w:rPr>
          <w:sz w:val="26"/>
          <w:szCs w:val="26"/>
        </w:rPr>
        <w:t>апреля</w:t>
      </w:r>
      <w:r w:rsidRPr="0097110B">
        <w:rPr>
          <w:sz w:val="26"/>
          <w:szCs w:val="26"/>
        </w:rPr>
        <w:t xml:space="preserve"> 2023 года по отчету ЗП-Образование среднесписочная численность</w:t>
      </w:r>
      <w:r w:rsidR="005941BA">
        <w:rPr>
          <w:sz w:val="26"/>
          <w:szCs w:val="26"/>
        </w:rPr>
        <w:t xml:space="preserve"> работников составила 305,3</w:t>
      </w:r>
      <w:r w:rsidRPr="0097110B">
        <w:rPr>
          <w:sz w:val="26"/>
          <w:szCs w:val="26"/>
        </w:rPr>
        <w:t xml:space="preserve"> человек</w:t>
      </w:r>
      <w:r w:rsidR="005941BA">
        <w:rPr>
          <w:sz w:val="26"/>
          <w:szCs w:val="26"/>
        </w:rPr>
        <w:t>, в том числе 5,7</w:t>
      </w:r>
      <w:r w:rsidR="002C543F">
        <w:rPr>
          <w:sz w:val="26"/>
          <w:szCs w:val="26"/>
        </w:rPr>
        <w:t xml:space="preserve"> внешних совместителей</w:t>
      </w:r>
      <w:r w:rsidRPr="0097110B">
        <w:rPr>
          <w:sz w:val="26"/>
          <w:szCs w:val="26"/>
        </w:rPr>
        <w:t>. Средняя заработная плата по бюджетны</w:t>
      </w:r>
      <w:r w:rsidR="005941BA">
        <w:rPr>
          <w:sz w:val="26"/>
          <w:szCs w:val="26"/>
        </w:rPr>
        <w:t>м учреждени</w:t>
      </w:r>
      <w:r w:rsidR="0045160D">
        <w:rPr>
          <w:sz w:val="26"/>
          <w:szCs w:val="26"/>
        </w:rPr>
        <w:t>ям без внешних совместителей составляет 39505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5941BA">
        <w:rPr>
          <w:sz w:val="26"/>
          <w:szCs w:val="26"/>
        </w:rPr>
        <w:t>ких работников составила 42793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>ц</w:t>
      </w:r>
      <w:r w:rsidR="005941BA">
        <w:rPr>
          <w:sz w:val="26"/>
          <w:szCs w:val="26"/>
        </w:rPr>
        <w:t>елевой показатель выполнен на 95,6</w:t>
      </w:r>
      <w:r w:rsidRPr="0097110B">
        <w:rPr>
          <w:sz w:val="26"/>
          <w:szCs w:val="26"/>
        </w:rPr>
        <w:t>%. Численность руководящих работников составляет 9 чел. со среднеме</w:t>
      </w:r>
      <w:r w:rsidR="005941BA">
        <w:rPr>
          <w:sz w:val="26"/>
          <w:szCs w:val="26"/>
        </w:rPr>
        <w:t>сячной заработной платой 53178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</w:t>
      </w:r>
      <w:r w:rsidR="005941BA">
        <w:rPr>
          <w:sz w:val="26"/>
          <w:szCs w:val="26"/>
        </w:rPr>
        <w:t>, обслуживающий персонал – 197,5 чел.</w:t>
      </w:r>
      <w:r w:rsidRPr="0097110B">
        <w:rPr>
          <w:sz w:val="26"/>
          <w:szCs w:val="26"/>
        </w:rPr>
        <w:t>, средняя зар</w:t>
      </w:r>
      <w:r w:rsidR="005941BA">
        <w:rPr>
          <w:sz w:val="26"/>
          <w:szCs w:val="26"/>
        </w:rPr>
        <w:t>аботная плата составляет 37304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151486">
        <w:rPr>
          <w:sz w:val="26"/>
          <w:szCs w:val="26"/>
        </w:rPr>
        <w:t>ование профинансированы на 24,6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151486">
        <w:rPr>
          <w:sz w:val="26"/>
          <w:szCs w:val="26"/>
        </w:rPr>
        <w:t>бюджете – 379120</w:t>
      </w:r>
      <w:r w:rsidR="00561B2E">
        <w:rPr>
          <w:sz w:val="26"/>
          <w:szCs w:val="26"/>
        </w:rPr>
        <w:t>,</w:t>
      </w:r>
      <w:r w:rsidR="00151486">
        <w:rPr>
          <w:sz w:val="26"/>
          <w:szCs w:val="26"/>
        </w:rPr>
        <w:t>2</w:t>
      </w:r>
      <w:r w:rsidRPr="0097110B">
        <w:rPr>
          <w:sz w:val="26"/>
          <w:szCs w:val="26"/>
        </w:rPr>
        <w:t xml:space="preserve"> тыс. руб</w:t>
      </w:r>
      <w:r w:rsidR="00151486">
        <w:rPr>
          <w:sz w:val="26"/>
          <w:szCs w:val="26"/>
        </w:rPr>
        <w:t>лей, исполнено – 93194,6</w:t>
      </w:r>
      <w:r w:rsidRPr="0097110B">
        <w:rPr>
          <w:sz w:val="26"/>
          <w:szCs w:val="26"/>
        </w:rPr>
        <w:t xml:space="preserve"> тыс. рублей). В </w:t>
      </w:r>
      <w:r w:rsidR="00561B2E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151486">
        <w:rPr>
          <w:sz w:val="26"/>
          <w:szCs w:val="26"/>
        </w:rPr>
        <w:t>3</w:t>
      </w:r>
      <w:r w:rsidR="00561B2E">
        <w:rPr>
          <w:sz w:val="26"/>
          <w:szCs w:val="26"/>
        </w:rPr>
        <w:t xml:space="preserve">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5D353A">
        <w:rPr>
          <w:sz w:val="26"/>
          <w:szCs w:val="26"/>
        </w:rPr>
        <w:t>х учреж</w:t>
      </w:r>
      <w:r w:rsidR="00607E28">
        <w:rPr>
          <w:sz w:val="26"/>
          <w:szCs w:val="26"/>
        </w:rPr>
        <w:t>дений направлено 90366,0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в </w:t>
      </w:r>
      <w:r w:rsidR="005D353A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607E28">
        <w:rPr>
          <w:sz w:val="26"/>
          <w:szCs w:val="26"/>
        </w:rPr>
        <w:t>4 году расходы больше на 2828,6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в </w:t>
      </w:r>
      <w:r w:rsidR="003A1EDA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877703">
        <w:rPr>
          <w:sz w:val="26"/>
          <w:szCs w:val="26"/>
        </w:rPr>
        <w:t>4</w:t>
      </w:r>
      <w:r w:rsidRPr="0097110B">
        <w:rPr>
          <w:sz w:val="26"/>
          <w:szCs w:val="26"/>
        </w:rPr>
        <w:t xml:space="preserve"> году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="00877703">
        <w:rPr>
          <w:sz w:val="26"/>
          <w:szCs w:val="26"/>
        </w:rPr>
        <w:t>9501,0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3A1EDA" w:rsidRPr="003A1EDA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877703">
        <w:rPr>
          <w:sz w:val="26"/>
          <w:szCs w:val="26"/>
        </w:rPr>
        <w:t>жета – 9405,7 тыс. рублей и 95,3</w:t>
      </w:r>
      <w:r w:rsidR="003A1EDA">
        <w:rPr>
          <w:sz w:val="26"/>
          <w:szCs w:val="26"/>
        </w:rPr>
        <w:t xml:space="preserve">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877703">
        <w:rPr>
          <w:sz w:val="26"/>
          <w:szCs w:val="26"/>
        </w:rPr>
        <w:t>на 34,8% или на 3310,6</w:t>
      </w:r>
      <w:r w:rsidR="003A1EDA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DB06C4">
        <w:rPr>
          <w:sz w:val="26"/>
          <w:szCs w:val="26"/>
        </w:rPr>
        <w:t xml:space="preserve"> федерального бюджета на 16327,1</w:t>
      </w:r>
      <w:r w:rsidR="00643C5B">
        <w:rPr>
          <w:sz w:val="26"/>
          <w:szCs w:val="26"/>
        </w:rPr>
        <w:t xml:space="preserve"> тыс. рублей, а освоение было на </w:t>
      </w:r>
      <w:r w:rsidR="00DB06C4">
        <w:rPr>
          <w:sz w:val="26"/>
          <w:szCs w:val="26"/>
        </w:rPr>
        <w:t>24,8</w:t>
      </w:r>
      <w:r w:rsidRPr="0097110B">
        <w:rPr>
          <w:sz w:val="26"/>
          <w:szCs w:val="26"/>
        </w:rPr>
        <w:t>%</w:t>
      </w:r>
      <w:r w:rsidR="00DB06C4">
        <w:rPr>
          <w:sz w:val="26"/>
          <w:szCs w:val="26"/>
        </w:rPr>
        <w:t xml:space="preserve"> (4044,7</w:t>
      </w:r>
      <w:r w:rsidR="00D702FB">
        <w:rPr>
          <w:sz w:val="26"/>
          <w:szCs w:val="26"/>
        </w:rPr>
        <w:t xml:space="preserve"> тыс. рублей)</w:t>
      </w:r>
      <w:r w:rsidR="000E0EA5">
        <w:rPr>
          <w:sz w:val="26"/>
          <w:szCs w:val="26"/>
        </w:rPr>
        <w:t>, выплачивается доплата 109 классным руководителям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овате</w:t>
      </w:r>
      <w:r w:rsidR="002A7520">
        <w:rPr>
          <w:sz w:val="26"/>
          <w:szCs w:val="26"/>
        </w:rPr>
        <w:t>льные учреждения) всего 597,36</w:t>
      </w:r>
      <w:r w:rsidRPr="0097110B">
        <w:rPr>
          <w:sz w:val="26"/>
          <w:szCs w:val="26"/>
        </w:rPr>
        <w:t xml:space="preserve"> штатных единиц: в том числ</w:t>
      </w:r>
      <w:r w:rsidR="00DD0BE5">
        <w:rPr>
          <w:sz w:val="26"/>
          <w:szCs w:val="26"/>
        </w:rPr>
        <w:t>е п</w:t>
      </w:r>
      <w:r w:rsidR="002A7520">
        <w:rPr>
          <w:sz w:val="26"/>
          <w:szCs w:val="26"/>
        </w:rPr>
        <w:t>едагогические работники –</w:t>
      </w:r>
      <w:r w:rsidR="00DD0BE5">
        <w:rPr>
          <w:sz w:val="26"/>
          <w:szCs w:val="26"/>
        </w:rPr>
        <w:t xml:space="preserve"> </w:t>
      </w:r>
      <w:r w:rsidR="002A7520" w:rsidRPr="002A7520">
        <w:rPr>
          <w:sz w:val="26"/>
          <w:szCs w:val="26"/>
        </w:rPr>
        <w:t>352,36, руководящие – 37, обслуживающий персонал – 208.</w:t>
      </w:r>
      <w:r w:rsidR="002A7520">
        <w:rPr>
          <w:sz w:val="26"/>
          <w:szCs w:val="26"/>
        </w:rPr>
        <w:t xml:space="preserve"> </w:t>
      </w:r>
      <w:r w:rsidR="002A7520" w:rsidRPr="002A7520">
        <w:rPr>
          <w:sz w:val="26"/>
          <w:szCs w:val="26"/>
        </w:rPr>
        <w:t>Общая штатная численность не изменилась, на уровне 2023 года.</w:t>
      </w:r>
      <w:r w:rsidR="002A7520">
        <w:rPr>
          <w:sz w:val="26"/>
          <w:szCs w:val="26"/>
        </w:rPr>
        <w:t xml:space="preserve"> Всего 109</w:t>
      </w:r>
      <w:r w:rsidRPr="0097110B">
        <w:rPr>
          <w:sz w:val="26"/>
          <w:szCs w:val="26"/>
        </w:rPr>
        <w:t xml:space="preserve"> класс-комплектов</w:t>
      </w:r>
      <w:r w:rsidR="002A7520">
        <w:rPr>
          <w:sz w:val="26"/>
          <w:szCs w:val="26"/>
        </w:rPr>
        <w:t>, с 1736</w:t>
      </w:r>
      <w:r w:rsidR="00AA309E">
        <w:rPr>
          <w:sz w:val="26"/>
          <w:szCs w:val="26"/>
        </w:rPr>
        <w:t xml:space="preserve"> </w:t>
      </w:r>
      <w:proofErr w:type="gramStart"/>
      <w:r w:rsidR="002A7520">
        <w:rPr>
          <w:sz w:val="26"/>
          <w:szCs w:val="26"/>
        </w:rPr>
        <w:t>обучающимся</w:t>
      </w:r>
      <w:proofErr w:type="gramEnd"/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и </w:t>
      </w:r>
      <w:proofErr w:type="gramStart"/>
      <w:r w:rsidRPr="0097110B">
        <w:rPr>
          <w:sz w:val="26"/>
          <w:szCs w:val="26"/>
        </w:rPr>
        <w:t>обучающихся</w:t>
      </w:r>
      <w:proofErr w:type="gramEnd"/>
      <w:r w:rsidRPr="0097110B">
        <w:rPr>
          <w:sz w:val="26"/>
          <w:szCs w:val="26"/>
        </w:rPr>
        <w:t xml:space="preserve"> на </w:t>
      </w:r>
      <w:r w:rsidR="00AA309E">
        <w:rPr>
          <w:sz w:val="26"/>
          <w:szCs w:val="26"/>
        </w:rPr>
        <w:t>уровне прошлого года.</w:t>
      </w:r>
      <w:r w:rsidRPr="0097110B">
        <w:rPr>
          <w:sz w:val="26"/>
          <w:szCs w:val="26"/>
        </w:rPr>
        <w:t xml:space="preserve">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</w:t>
      </w:r>
      <w:r w:rsidR="000769FA">
        <w:rPr>
          <w:sz w:val="26"/>
          <w:szCs w:val="26"/>
        </w:rPr>
        <w:t xml:space="preserve">енность </w:t>
      </w:r>
      <w:r w:rsidR="00E82DB6">
        <w:rPr>
          <w:sz w:val="26"/>
          <w:szCs w:val="26"/>
        </w:rPr>
        <w:t>работников составила 502,5</w:t>
      </w:r>
      <w:r w:rsidRPr="0097110B">
        <w:rPr>
          <w:sz w:val="26"/>
          <w:szCs w:val="26"/>
        </w:rPr>
        <w:t xml:space="preserve"> челов</w:t>
      </w:r>
      <w:r w:rsidR="00E82DB6">
        <w:rPr>
          <w:sz w:val="26"/>
          <w:szCs w:val="26"/>
        </w:rPr>
        <w:t>ек, без внешних совместителей 480,5</w:t>
      </w:r>
      <w:r w:rsidRPr="0097110B">
        <w:rPr>
          <w:sz w:val="26"/>
          <w:szCs w:val="26"/>
        </w:rPr>
        <w:t>. Средняя зар</w:t>
      </w:r>
      <w:r w:rsidR="00E82DB6">
        <w:rPr>
          <w:sz w:val="26"/>
          <w:szCs w:val="26"/>
        </w:rPr>
        <w:t>аботная плата составляет 43457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>х:</w:t>
      </w:r>
      <w:r w:rsidR="00E82DB6">
        <w:rPr>
          <w:sz w:val="26"/>
          <w:szCs w:val="26"/>
        </w:rPr>
        <w:t xml:space="preserve"> педагогические работники- 224,5</w:t>
      </w:r>
      <w:r w:rsidRPr="0097110B">
        <w:rPr>
          <w:sz w:val="26"/>
          <w:szCs w:val="26"/>
        </w:rPr>
        <w:t>, средняя за</w:t>
      </w:r>
      <w:r w:rsidR="00E82DB6">
        <w:rPr>
          <w:sz w:val="26"/>
          <w:szCs w:val="26"/>
        </w:rPr>
        <w:t>работная плата составила 46741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</w:t>
      </w:r>
      <w:r w:rsidR="00E82DB6">
        <w:rPr>
          <w:sz w:val="26"/>
          <w:szCs w:val="26"/>
        </w:rPr>
        <w:t>ей, руководящие работники – 44,5</w:t>
      </w:r>
      <w:r w:rsidRPr="0097110B">
        <w:rPr>
          <w:sz w:val="26"/>
          <w:szCs w:val="26"/>
        </w:rPr>
        <w:t xml:space="preserve"> со с</w:t>
      </w:r>
      <w:r w:rsidR="00BE3921">
        <w:rPr>
          <w:sz w:val="26"/>
          <w:szCs w:val="26"/>
        </w:rPr>
        <w:t>редней зар</w:t>
      </w:r>
      <w:r w:rsidR="00E82DB6">
        <w:rPr>
          <w:sz w:val="26"/>
          <w:szCs w:val="26"/>
        </w:rPr>
        <w:t>аботной платой 60121</w:t>
      </w:r>
      <w:r w:rsidR="00BE3921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руб</w:t>
      </w:r>
      <w:r w:rsidR="00E82DB6">
        <w:rPr>
          <w:sz w:val="26"/>
          <w:szCs w:val="26"/>
        </w:rPr>
        <w:t>лей, обслуживающий персонал –211,5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иваю</w:t>
      </w:r>
      <w:r w:rsidR="00E82DB6">
        <w:rPr>
          <w:sz w:val="26"/>
          <w:szCs w:val="26"/>
        </w:rPr>
        <w:t>щего персонала составила 36464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</w:t>
      </w:r>
      <w:r w:rsidR="008D1601">
        <w:rPr>
          <w:sz w:val="26"/>
          <w:szCs w:val="26"/>
        </w:rPr>
        <w:t>ских работников выполнен на 91,5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6B1AAF">
        <w:rPr>
          <w:sz w:val="26"/>
          <w:szCs w:val="26"/>
        </w:rPr>
        <w:t>кола искусств» составили 4036,0</w:t>
      </w:r>
      <w:r w:rsidRPr="0097110B">
        <w:rPr>
          <w:sz w:val="26"/>
          <w:szCs w:val="26"/>
        </w:rPr>
        <w:t xml:space="preserve"> ты</w:t>
      </w:r>
      <w:r w:rsidR="006B1AAF">
        <w:rPr>
          <w:sz w:val="26"/>
          <w:szCs w:val="26"/>
        </w:rPr>
        <w:t>с. рублей при плане 15377,7</w:t>
      </w:r>
      <w:r w:rsidRPr="0097110B">
        <w:rPr>
          <w:sz w:val="26"/>
          <w:szCs w:val="26"/>
        </w:rPr>
        <w:t xml:space="preserve"> тыс. руб</w:t>
      </w:r>
      <w:r w:rsidR="006B1AAF">
        <w:rPr>
          <w:sz w:val="26"/>
          <w:szCs w:val="26"/>
        </w:rPr>
        <w:t>лей или выполнение плана на 26,2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6B1AAF">
        <w:rPr>
          <w:sz w:val="26"/>
          <w:szCs w:val="26"/>
        </w:rPr>
        <w:t>увеличе</w:t>
      </w:r>
      <w:r w:rsidR="0082145D">
        <w:rPr>
          <w:sz w:val="26"/>
          <w:szCs w:val="26"/>
        </w:rPr>
        <w:t>ние</w:t>
      </w:r>
      <w:r w:rsidRPr="0097110B">
        <w:rPr>
          <w:sz w:val="26"/>
          <w:szCs w:val="26"/>
        </w:rPr>
        <w:t xml:space="preserve"> расходов на </w:t>
      </w:r>
      <w:r w:rsidR="006B1AAF">
        <w:rPr>
          <w:sz w:val="26"/>
          <w:szCs w:val="26"/>
        </w:rPr>
        <w:t>226,7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</w:t>
      </w:r>
      <w:r w:rsidR="00813C6E">
        <w:rPr>
          <w:sz w:val="26"/>
          <w:szCs w:val="26"/>
        </w:rPr>
        <w:t>работной плате выполнен на 120</w:t>
      </w:r>
      <w:r w:rsidRPr="0097110B">
        <w:rPr>
          <w:sz w:val="26"/>
          <w:szCs w:val="26"/>
        </w:rPr>
        <w:t xml:space="preserve"> 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</w:t>
      </w:r>
      <w:r w:rsidR="00813C6E">
        <w:rPr>
          <w:sz w:val="26"/>
          <w:szCs w:val="26"/>
        </w:rPr>
        <w:t>го образования составила 53823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каникулярное время </w:t>
      </w:r>
      <w:r w:rsidR="000B74C0">
        <w:rPr>
          <w:sz w:val="26"/>
          <w:szCs w:val="26"/>
        </w:rPr>
        <w:t>без исполнения при плане 7186,4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Pr="0097110B">
        <w:rPr>
          <w:sz w:val="26"/>
          <w:szCs w:val="26"/>
        </w:rPr>
        <w:t>. Средства</w:t>
      </w:r>
      <w:r w:rsidR="00714856">
        <w:rPr>
          <w:sz w:val="26"/>
          <w:szCs w:val="26"/>
        </w:rPr>
        <w:t xml:space="preserve"> </w:t>
      </w:r>
      <w:r w:rsidR="00E56CBC">
        <w:rPr>
          <w:sz w:val="26"/>
          <w:szCs w:val="26"/>
        </w:rPr>
        <w:t xml:space="preserve">будут </w:t>
      </w:r>
      <w:r w:rsidRPr="0097110B">
        <w:rPr>
          <w:sz w:val="26"/>
          <w:szCs w:val="26"/>
        </w:rPr>
        <w:t xml:space="preserve">направлены на </w:t>
      </w:r>
      <w:r w:rsidR="000B74C0">
        <w:rPr>
          <w:sz w:val="26"/>
          <w:szCs w:val="26"/>
        </w:rPr>
        <w:t xml:space="preserve">содержания лагерей, на </w:t>
      </w:r>
      <w:r w:rsidRPr="0097110B">
        <w:rPr>
          <w:sz w:val="26"/>
          <w:szCs w:val="26"/>
        </w:rPr>
        <w:t xml:space="preserve">организацию питания учащихся в стационарном </w:t>
      </w:r>
      <w:r w:rsidRPr="0097110B">
        <w:rPr>
          <w:sz w:val="26"/>
          <w:szCs w:val="26"/>
        </w:rPr>
        <w:lastRenderedPageBreak/>
        <w:t>летнем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="00E56CBC">
        <w:rPr>
          <w:sz w:val="26"/>
          <w:szCs w:val="26"/>
        </w:rPr>
        <w:t xml:space="preserve">» и </w:t>
      </w:r>
      <w:r w:rsidR="000B74C0">
        <w:rPr>
          <w:sz w:val="26"/>
          <w:szCs w:val="26"/>
        </w:rPr>
        <w:t xml:space="preserve">в </w:t>
      </w:r>
      <w:r w:rsidR="00E56CBC">
        <w:rPr>
          <w:sz w:val="26"/>
          <w:szCs w:val="26"/>
        </w:rPr>
        <w:t>пришкольных летних лагерях</w:t>
      </w:r>
      <w:r w:rsidRPr="0097110B">
        <w:rPr>
          <w:sz w:val="26"/>
          <w:szCs w:val="26"/>
        </w:rPr>
        <w:t>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CE1400">
        <w:rPr>
          <w:sz w:val="26"/>
          <w:szCs w:val="26"/>
        </w:rPr>
        <w:t>62397,2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CE1400">
        <w:rPr>
          <w:sz w:val="26"/>
          <w:szCs w:val="26"/>
        </w:rPr>
        <w:t>15783,8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9C15F8">
        <w:rPr>
          <w:sz w:val="26"/>
          <w:szCs w:val="26"/>
        </w:rPr>
        <w:t>2</w:t>
      </w:r>
      <w:r w:rsidR="00CE1400">
        <w:rPr>
          <w:sz w:val="26"/>
          <w:szCs w:val="26"/>
        </w:rPr>
        <w:t>5</w:t>
      </w:r>
      <w:r w:rsidR="009C15F8">
        <w:rPr>
          <w:sz w:val="26"/>
          <w:szCs w:val="26"/>
        </w:rPr>
        <w:t>,3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CE1400">
        <w:rPr>
          <w:sz w:val="26"/>
          <w:szCs w:val="26"/>
        </w:rPr>
        <w:t>227,8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. Исполнение расходов за </w:t>
      </w:r>
      <w:r w:rsidR="008C5CC3">
        <w:rPr>
          <w:sz w:val="26"/>
          <w:szCs w:val="26"/>
        </w:rPr>
        <w:t xml:space="preserve">1 квартал </w:t>
      </w:r>
      <w:r w:rsidRPr="00445725">
        <w:rPr>
          <w:sz w:val="26"/>
          <w:szCs w:val="26"/>
        </w:rPr>
        <w:t>20</w:t>
      </w:r>
      <w:r w:rsidR="00761A1D">
        <w:rPr>
          <w:sz w:val="26"/>
          <w:szCs w:val="26"/>
        </w:rPr>
        <w:t>2</w:t>
      </w:r>
      <w:r w:rsidR="00CE1400">
        <w:rPr>
          <w:sz w:val="26"/>
          <w:szCs w:val="26"/>
        </w:rPr>
        <w:t>3</w:t>
      </w:r>
      <w:r w:rsidRPr="00445725">
        <w:rPr>
          <w:sz w:val="26"/>
          <w:szCs w:val="26"/>
        </w:rPr>
        <w:t xml:space="preserve"> год</w:t>
      </w:r>
      <w:r w:rsidR="008C5CC3">
        <w:rPr>
          <w:sz w:val="26"/>
          <w:szCs w:val="26"/>
        </w:rPr>
        <w:t>а</w:t>
      </w:r>
      <w:r w:rsidRPr="00445725">
        <w:rPr>
          <w:sz w:val="26"/>
          <w:szCs w:val="26"/>
        </w:rPr>
        <w:t xml:space="preserve"> составило </w:t>
      </w:r>
      <w:r w:rsidR="00CE1400">
        <w:rPr>
          <w:sz w:val="26"/>
          <w:szCs w:val="26"/>
        </w:rPr>
        <w:t>14465,2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="008C5CC3">
        <w:rPr>
          <w:sz w:val="26"/>
          <w:szCs w:val="26"/>
        </w:rPr>
        <w:t>рублей</w:t>
      </w:r>
      <w:r w:rsidRPr="00445725">
        <w:rPr>
          <w:sz w:val="26"/>
          <w:szCs w:val="26"/>
        </w:rPr>
        <w:t xml:space="preserve"> или </w:t>
      </w:r>
      <w:r w:rsidR="00CE1400">
        <w:rPr>
          <w:sz w:val="26"/>
          <w:szCs w:val="26"/>
        </w:rPr>
        <w:t>23,3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CE1400">
        <w:rPr>
          <w:sz w:val="26"/>
          <w:szCs w:val="26"/>
        </w:rPr>
        <w:t>ых бюджетных назначений (62169,4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CE1400">
        <w:rPr>
          <w:sz w:val="26"/>
          <w:szCs w:val="26"/>
        </w:rPr>
        <w:t xml:space="preserve"> составила 8</w:t>
      </w:r>
      <w:r w:rsidR="00797D72">
        <w:rPr>
          <w:sz w:val="26"/>
          <w:szCs w:val="26"/>
        </w:rPr>
        <w:t>% против 6</w:t>
      </w:r>
      <w:r w:rsidR="00CE1400">
        <w:rPr>
          <w:sz w:val="26"/>
          <w:szCs w:val="26"/>
        </w:rPr>
        <w:t>,2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E4531" w:rsidRDefault="00FE4531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72FF5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24 031,1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F72FF5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5 409,0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F72FF5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72FF5">
              <w:rPr>
                <w:sz w:val="26"/>
                <w:szCs w:val="26"/>
              </w:rPr>
              <w:t>28 120,7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F72FF5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7 804,3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F72FF5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F72FF5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62 397,2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F72FF5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15 783,8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797D72" w:rsidP="00F72FF5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72F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,3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317E6" w:rsidRPr="00C464DE" w:rsidRDefault="005317E6" w:rsidP="005A1F73">
      <w:pPr>
        <w:keepNext/>
        <w:widowControl w:val="0"/>
        <w:ind w:firstLine="720"/>
        <w:jc w:val="both"/>
        <w:rPr>
          <w:rFonts w:ascii="TimesNewRomanPS-BoldMT" w:hAnsi="TimesNewRomanPS-BoldMT"/>
          <w:bCs/>
          <w:color w:val="000000"/>
          <w:sz w:val="26"/>
          <w:szCs w:val="26"/>
        </w:rPr>
      </w:pP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По разделу 0800 функционирует</w:t>
      </w:r>
      <w:r w:rsidRPr="00C464DE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всего 3 учреждений, общая численность которых составляет штатных 100 единиц, что остается на уровне прошлого года.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</w:t>
      </w:r>
      <w:r w:rsidR="00D73476" w:rsidRPr="00C464DE">
        <w:rPr>
          <w:rFonts w:ascii="TimesNewRomanPS-BoldMT" w:hAnsi="TimesNewRomanPS-BoldMT" w:hint="eastAsia"/>
          <w:bCs/>
          <w:color w:val="000000"/>
          <w:sz w:val="26"/>
          <w:szCs w:val="26"/>
        </w:rPr>
        <w:t>С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>редняя заработная плата составила 46070 рублей на 44 работников культуры, что целевой индикатор средних зарплат выполнен на 102%.</w:t>
      </w:r>
    </w:p>
    <w:p w:rsidR="005317E6" w:rsidRPr="00C464DE" w:rsidRDefault="005317E6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E022F">
        <w:rPr>
          <w:sz w:val="26"/>
          <w:szCs w:val="26"/>
        </w:rPr>
        <w:t>01 апреля</w:t>
      </w:r>
      <w:r w:rsidRPr="004E11B0">
        <w:rPr>
          <w:sz w:val="26"/>
          <w:szCs w:val="26"/>
        </w:rPr>
        <w:t xml:space="preserve"> 202</w:t>
      </w:r>
      <w:r w:rsidR="00112611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112611">
        <w:rPr>
          <w:sz w:val="26"/>
          <w:szCs w:val="26"/>
        </w:rPr>
        <w:t>288,5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8E022F">
        <w:rPr>
          <w:sz w:val="26"/>
          <w:szCs w:val="26"/>
        </w:rPr>
        <w:t xml:space="preserve">лей, </w:t>
      </w:r>
      <w:r w:rsidR="00112611">
        <w:rPr>
          <w:sz w:val="26"/>
          <w:szCs w:val="26"/>
        </w:rPr>
        <w:t xml:space="preserve">без </w:t>
      </w:r>
      <w:r w:rsidR="008E022F">
        <w:rPr>
          <w:sz w:val="26"/>
          <w:szCs w:val="26"/>
        </w:rPr>
        <w:t>исполнен</w:t>
      </w:r>
      <w:r w:rsidR="00112611">
        <w:rPr>
          <w:sz w:val="26"/>
          <w:szCs w:val="26"/>
        </w:rPr>
        <w:t>ия,</w:t>
      </w:r>
      <w:r w:rsidRPr="004E11B0">
        <w:rPr>
          <w:sz w:val="26"/>
          <w:szCs w:val="26"/>
        </w:rPr>
        <w:t xml:space="preserve"> что  на </w:t>
      </w:r>
      <w:r w:rsidR="008E022F">
        <w:rPr>
          <w:sz w:val="26"/>
          <w:szCs w:val="26"/>
        </w:rPr>
        <w:t>92,9</w:t>
      </w:r>
      <w:r w:rsidRPr="004E11B0">
        <w:rPr>
          <w:sz w:val="26"/>
          <w:szCs w:val="26"/>
        </w:rPr>
        <w:t xml:space="preserve"> тыс.</w:t>
      </w:r>
      <w:r w:rsidR="008E022F">
        <w:rPr>
          <w:sz w:val="26"/>
          <w:szCs w:val="26"/>
        </w:rPr>
        <w:t xml:space="preserve"> рублей </w:t>
      </w:r>
      <w:r w:rsidR="00926BF0">
        <w:rPr>
          <w:sz w:val="26"/>
          <w:szCs w:val="26"/>
        </w:rPr>
        <w:t xml:space="preserve"> </w:t>
      </w:r>
      <w:r w:rsidR="00112611">
        <w:rPr>
          <w:sz w:val="26"/>
          <w:szCs w:val="26"/>
        </w:rPr>
        <w:t>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</w:t>
      </w:r>
      <w:r w:rsidR="00112611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года (</w:t>
      </w:r>
      <w:r w:rsidR="00112611">
        <w:rPr>
          <w:sz w:val="26"/>
          <w:szCs w:val="26"/>
        </w:rPr>
        <w:t>92,9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202</w:t>
      </w:r>
      <w:r w:rsidR="007541AB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 утвержден в сумме  </w:t>
      </w:r>
      <w:r w:rsidR="007541AB">
        <w:rPr>
          <w:sz w:val="26"/>
          <w:szCs w:val="26"/>
        </w:rPr>
        <w:t>68604,7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7541AB">
        <w:rPr>
          <w:sz w:val="26"/>
          <w:szCs w:val="26"/>
        </w:rPr>
        <w:t>14165,5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7541AB">
        <w:rPr>
          <w:sz w:val="26"/>
          <w:szCs w:val="26"/>
        </w:rPr>
        <w:t>20,6</w:t>
      </w:r>
      <w:r w:rsidRPr="004E11B0">
        <w:rPr>
          <w:sz w:val="26"/>
          <w:szCs w:val="26"/>
        </w:rPr>
        <w:t xml:space="preserve">%, что  на </w:t>
      </w:r>
      <w:r w:rsidR="00E772C9">
        <w:rPr>
          <w:sz w:val="26"/>
          <w:szCs w:val="26"/>
        </w:rPr>
        <w:t xml:space="preserve">35813,1 </w:t>
      </w:r>
      <w:r w:rsidRPr="004E11B0">
        <w:rPr>
          <w:sz w:val="26"/>
          <w:szCs w:val="26"/>
        </w:rPr>
        <w:t>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</w:t>
      </w:r>
      <w:r w:rsidR="00E772C9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года (</w:t>
      </w:r>
      <w:r w:rsidR="00E772C9">
        <w:rPr>
          <w:sz w:val="26"/>
          <w:szCs w:val="26"/>
        </w:rPr>
        <w:t>49978,6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</w:t>
      </w:r>
      <w:r w:rsidR="00183805">
        <w:rPr>
          <w:sz w:val="26"/>
          <w:szCs w:val="26"/>
        </w:rPr>
        <w:t>, в связи с постепенным переходом социальных выплат на СФР</w:t>
      </w:r>
      <w:r w:rsidRPr="004E11B0">
        <w:rPr>
          <w:sz w:val="26"/>
          <w:szCs w:val="26"/>
        </w:rPr>
        <w:t>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</w:t>
      </w:r>
      <w:r w:rsidR="00944D0D">
        <w:rPr>
          <w:sz w:val="26"/>
          <w:szCs w:val="26"/>
        </w:rPr>
        <w:t xml:space="preserve">за 1 квартал </w:t>
      </w:r>
      <w:r w:rsidRPr="004E11B0">
        <w:rPr>
          <w:sz w:val="26"/>
          <w:szCs w:val="26"/>
        </w:rPr>
        <w:t>202</w:t>
      </w:r>
      <w:r w:rsidR="00183805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183805">
        <w:rPr>
          <w:sz w:val="26"/>
          <w:szCs w:val="26"/>
        </w:rPr>
        <w:t>7,2</w:t>
      </w:r>
      <w:r w:rsidR="00B608C6">
        <w:rPr>
          <w:sz w:val="26"/>
          <w:szCs w:val="26"/>
        </w:rPr>
        <w:t>%  против 2</w:t>
      </w:r>
      <w:r w:rsidR="00183805">
        <w:rPr>
          <w:sz w:val="26"/>
          <w:szCs w:val="26"/>
        </w:rPr>
        <w:t>1,3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lastRenderedPageBreak/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F44154" w:rsidRDefault="00F44154" w:rsidP="00ED18A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44154">
              <w:rPr>
                <w:b/>
                <w:sz w:val="26"/>
                <w:szCs w:val="26"/>
              </w:rPr>
              <w:t>1001</w:t>
            </w: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123,9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F44154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4154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B6629">
              <w:rPr>
                <w:sz w:val="26"/>
                <w:szCs w:val="26"/>
              </w:rPr>
              <w:t>1 991,0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4154" w:rsidRDefault="00F44154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4E242D" w:rsidP="00AB662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B6629">
              <w:rPr>
                <w:sz w:val="26"/>
                <w:szCs w:val="26"/>
              </w:rPr>
              <w:t> 567,9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4154" w:rsidRDefault="00F44154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4E11B0" w:rsidRPr="004E11B0" w:rsidRDefault="004E242D" w:rsidP="00AB662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B6629">
              <w:rPr>
                <w:sz w:val="26"/>
                <w:szCs w:val="26"/>
              </w:rPr>
              <w:t>9,8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AB6629" w:rsidP="004E242D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50 493,9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AB6629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8 898,1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AB6629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7B5AE5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6629">
              <w:rPr>
                <w:sz w:val="26"/>
                <w:szCs w:val="26"/>
              </w:rPr>
              <w:t>4 619,8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AB6629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1 575,6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AB6629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Default="00AB6629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Default="00AB6629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AB6629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68 604,7</w:t>
            </w:r>
          </w:p>
          <w:p w:rsidR="004E242D" w:rsidRPr="004E11B0" w:rsidRDefault="004E242D" w:rsidP="00EC591A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AB6629" w:rsidP="00AA215C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14 165,5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AB6629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20,6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5708B0">
        <w:rPr>
          <w:sz w:val="26"/>
          <w:szCs w:val="26"/>
        </w:rPr>
        <w:t>граждан –1756,5</w:t>
      </w:r>
      <w:r w:rsidR="00065208">
        <w:rPr>
          <w:sz w:val="26"/>
          <w:szCs w:val="26"/>
        </w:rPr>
        <w:t xml:space="preserve"> тыс. рублей</w:t>
      </w:r>
      <w:r w:rsidR="005708B0">
        <w:rPr>
          <w:sz w:val="26"/>
          <w:szCs w:val="26"/>
        </w:rPr>
        <w:t xml:space="preserve"> или 51,7</w:t>
      </w:r>
      <w:r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(3400,0</w:t>
      </w:r>
      <w:r w:rsidR="00FE4531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ежемесячное </w:t>
      </w:r>
      <w:r w:rsidR="00065208">
        <w:rPr>
          <w:sz w:val="26"/>
          <w:szCs w:val="26"/>
        </w:rPr>
        <w:t xml:space="preserve">пособие детей до 16 лет – </w:t>
      </w:r>
      <w:r w:rsidR="001D611A">
        <w:rPr>
          <w:sz w:val="26"/>
          <w:szCs w:val="26"/>
        </w:rPr>
        <w:t>0,</w:t>
      </w:r>
      <w:r w:rsidR="005708B0">
        <w:rPr>
          <w:sz w:val="26"/>
          <w:szCs w:val="26"/>
        </w:rPr>
        <w:t>7</w:t>
      </w:r>
      <w:r w:rsidR="001D611A">
        <w:rPr>
          <w:sz w:val="26"/>
          <w:szCs w:val="26"/>
        </w:rPr>
        <w:t xml:space="preserve"> тыс. рублей</w:t>
      </w:r>
      <w:r w:rsidR="005708B0">
        <w:rPr>
          <w:sz w:val="26"/>
          <w:szCs w:val="26"/>
        </w:rPr>
        <w:t>, что составляет 23,3</w:t>
      </w:r>
      <w:r w:rsidRPr="00B27E21">
        <w:rPr>
          <w:sz w:val="26"/>
          <w:szCs w:val="26"/>
        </w:rPr>
        <w:t>% утвержденных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</w:t>
      </w:r>
      <w:r w:rsidR="005708B0">
        <w:rPr>
          <w:sz w:val="26"/>
          <w:szCs w:val="26"/>
        </w:rPr>
        <w:t xml:space="preserve"> (3,0</w:t>
      </w:r>
      <w:r w:rsidR="00065208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5708B0">
        <w:rPr>
          <w:sz w:val="26"/>
          <w:szCs w:val="26"/>
        </w:rPr>
        <w:t>ение умерших – 66,2 тыс. рублей или 29,2</w:t>
      </w:r>
      <w:r w:rsidRPr="00B27E21">
        <w:rPr>
          <w:sz w:val="26"/>
          <w:szCs w:val="26"/>
        </w:rPr>
        <w:t>% к плану</w:t>
      </w:r>
      <w:r w:rsidR="001D611A">
        <w:rPr>
          <w:sz w:val="26"/>
          <w:szCs w:val="26"/>
        </w:rPr>
        <w:t xml:space="preserve"> (227,0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5708B0">
        <w:rPr>
          <w:sz w:val="26"/>
          <w:szCs w:val="26"/>
        </w:rPr>
        <w:t>труда и труженикам тыла – 765,2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5708B0">
        <w:rPr>
          <w:sz w:val="26"/>
          <w:szCs w:val="26"/>
        </w:rPr>
        <w:t>23,8</w:t>
      </w:r>
      <w:r w:rsidRPr="00B27E21">
        <w:rPr>
          <w:sz w:val="26"/>
          <w:szCs w:val="26"/>
        </w:rPr>
        <w:t>%</w:t>
      </w:r>
      <w:r w:rsidR="005708B0">
        <w:rPr>
          <w:sz w:val="26"/>
          <w:szCs w:val="26"/>
        </w:rPr>
        <w:t xml:space="preserve"> к плану 3210,0</w:t>
      </w:r>
      <w:r w:rsidR="00487FF8">
        <w:rPr>
          <w:sz w:val="26"/>
          <w:szCs w:val="26"/>
        </w:rPr>
        <w:t xml:space="preserve">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5708B0">
        <w:rPr>
          <w:sz w:val="26"/>
          <w:szCs w:val="26"/>
        </w:rPr>
        <w:t>субсидий на оплату ЖКУ – 500,7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5708B0">
        <w:rPr>
          <w:sz w:val="26"/>
          <w:szCs w:val="26"/>
        </w:rPr>
        <w:t>34</w:t>
      </w:r>
      <w:r w:rsidR="00B33979">
        <w:rPr>
          <w:sz w:val="26"/>
          <w:szCs w:val="26"/>
        </w:rPr>
        <w:t>,0</w:t>
      </w:r>
      <w:r w:rsidRPr="00B27E21">
        <w:rPr>
          <w:sz w:val="26"/>
          <w:szCs w:val="26"/>
        </w:rPr>
        <w:t xml:space="preserve"> % к плану</w:t>
      </w:r>
      <w:r w:rsidR="005708B0">
        <w:rPr>
          <w:sz w:val="26"/>
          <w:szCs w:val="26"/>
        </w:rPr>
        <w:t xml:space="preserve"> (1471</w:t>
      </w:r>
      <w:r w:rsidR="00B33979">
        <w:rPr>
          <w:sz w:val="26"/>
          <w:szCs w:val="26"/>
        </w:rPr>
        <w:t>,0 тыс. рублей)</w:t>
      </w:r>
      <w:r w:rsidRPr="00B27E21">
        <w:rPr>
          <w:sz w:val="26"/>
          <w:szCs w:val="26"/>
        </w:rPr>
        <w:t>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5708B0">
        <w:rPr>
          <w:sz w:val="26"/>
          <w:szCs w:val="26"/>
        </w:rPr>
        <w:t>ка и последующих детей – 6506,3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5708B0">
        <w:rPr>
          <w:sz w:val="26"/>
          <w:szCs w:val="26"/>
        </w:rPr>
        <w:t>или 23,2</w:t>
      </w:r>
      <w:r w:rsidR="005708B0" w:rsidRPr="00B27E21">
        <w:rPr>
          <w:sz w:val="26"/>
          <w:szCs w:val="26"/>
        </w:rPr>
        <w:t xml:space="preserve"> </w:t>
      </w:r>
      <w:r w:rsidR="002E3067"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(28061,6</w:t>
      </w:r>
      <w:r w:rsidR="002E3067">
        <w:rPr>
          <w:sz w:val="26"/>
          <w:szCs w:val="26"/>
        </w:rPr>
        <w:t xml:space="preserve"> тыс. рублей);</w:t>
      </w:r>
    </w:p>
    <w:p w:rsidR="002E3067" w:rsidRPr="00B27E21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 w:rsidR="005708B0">
        <w:rPr>
          <w:sz w:val="26"/>
          <w:szCs w:val="26"/>
        </w:rPr>
        <w:t>иканского бюджета средств 198,1</w:t>
      </w:r>
      <w:r w:rsidRPr="00B27E21">
        <w:rPr>
          <w:sz w:val="26"/>
          <w:szCs w:val="26"/>
        </w:rPr>
        <w:t xml:space="preserve"> тыс.</w:t>
      </w:r>
      <w:r w:rsidR="005708B0">
        <w:rPr>
          <w:sz w:val="26"/>
          <w:szCs w:val="26"/>
        </w:rPr>
        <w:t xml:space="preserve"> рублей или 4</w:t>
      </w:r>
      <w:r w:rsidRPr="00B27E21">
        <w:rPr>
          <w:sz w:val="26"/>
          <w:szCs w:val="26"/>
        </w:rPr>
        <w:t>% к плану</w:t>
      </w:r>
      <w:r w:rsidR="005708B0">
        <w:rPr>
          <w:sz w:val="26"/>
          <w:szCs w:val="26"/>
        </w:rPr>
        <w:t>(4999,0</w:t>
      </w:r>
      <w:r>
        <w:rPr>
          <w:sz w:val="26"/>
          <w:szCs w:val="26"/>
        </w:rPr>
        <w:t xml:space="preserve"> тыс. рублей).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4922D9">
        <w:rPr>
          <w:color w:val="000000"/>
          <w:sz w:val="26"/>
          <w:szCs w:val="26"/>
        </w:rPr>
        <w:t>ланированы  в общей сумме 720,0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641A13">
        <w:rPr>
          <w:color w:val="000000"/>
          <w:sz w:val="26"/>
          <w:szCs w:val="26"/>
        </w:rPr>
        <w:t xml:space="preserve">1 квартал </w:t>
      </w:r>
      <w:r w:rsidRPr="00795846">
        <w:rPr>
          <w:color w:val="000000"/>
          <w:sz w:val="26"/>
          <w:szCs w:val="26"/>
        </w:rPr>
        <w:t>202</w:t>
      </w:r>
      <w:r w:rsidR="004922D9">
        <w:rPr>
          <w:color w:val="000000"/>
          <w:sz w:val="26"/>
          <w:szCs w:val="26"/>
        </w:rPr>
        <w:t>4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4922D9">
        <w:rPr>
          <w:color w:val="000000"/>
          <w:sz w:val="26"/>
          <w:szCs w:val="26"/>
        </w:rPr>
        <w:t>36,5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641A13">
        <w:rPr>
          <w:color w:val="000000"/>
          <w:sz w:val="26"/>
          <w:szCs w:val="26"/>
        </w:rPr>
        <w:t>5,1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D86579">
        <w:rPr>
          <w:sz w:val="26"/>
          <w:szCs w:val="26"/>
        </w:rPr>
        <w:t>27,7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D86579">
        <w:rPr>
          <w:sz w:val="26"/>
          <w:szCs w:val="26"/>
        </w:rPr>
        <w:t>5,1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</w:t>
      </w:r>
      <w:r w:rsidR="00D86579">
        <w:rPr>
          <w:sz w:val="26"/>
          <w:szCs w:val="26"/>
        </w:rPr>
        <w:t>3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</w:t>
      </w:r>
      <w:r w:rsidR="00635FD8">
        <w:rPr>
          <w:sz w:val="26"/>
          <w:szCs w:val="26"/>
        </w:rPr>
        <w:t>ожуунных</w:t>
      </w:r>
      <w:proofErr w:type="spellEnd"/>
      <w:r w:rsidR="00635FD8">
        <w:rPr>
          <w:sz w:val="26"/>
          <w:szCs w:val="26"/>
        </w:rPr>
        <w:t xml:space="preserve"> спортивных мероприятий.</w:t>
      </w:r>
    </w:p>
    <w:p w:rsidR="00AE154E" w:rsidRPr="00A65D75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C8083D">
        <w:rPr>
          <w:color w:val="000000"/>
          <w:sz w:val="26"/>
          <w:szCs w:val="26"/>
        </w:rPr>
        <w:t xml:space="preserve">1 квартал </w:t>
      </w:r>
      <w:r w:rsidR="00C8083D">
        <w:rPr>
          <w:sz w:val="26"/>
          <w:szCs w:val="26"/>
        </w:rPr>
        <w:t>202</w:t>
      </w:r>
      <w:r w:rsidR="00FA5F24">
        <w:rPr>
          <w:sz w:val="26"/>
          <w:szCs w:val="26"/>
        </w:rPr>
        <w:t>4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FA5F24">
        <w:rPr>
          <w:color w:val="000000"/>
          <w:sz w:val="26"/>
          <w:szCs w:val="26"/>
        </w:rPr>
        <w:t>сумме 7664,9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FA5F24">
        <w:rPr>
          <w:color w:val="000000"/>
          <w:sz w:val="26"/>
          <w:szCs w:val="26"/>
        </w:rPr>
        <w:t>22,6</w:t>
      </w:r>
      <w:r w:rsidRPr="00795846">
        <w:rPr>
          <w:color w:val="000000"/>
          <w:sz w:val="26"/>
          <w:szCs w:val="26"/>
        </w:rPr>
        <w:t xml:space="preserve">% утверждённых бюджетных назначений </w:t>
      </w:r>
      <w:r w:rsidRPr="00795846">
        <w:rPr>
          <w:color w:val="000000"/>
          <w:sz w:val="26"/>
          <w:szCs w:val="26"/>
        </w:rPr>
        <w:lastRenderedPageBreak/>
        <w:t>на 202</w:t>
      </w:r>
      <w:r w:rsidR="00FA5F24">
        <w:rPr>
          <w:color w:val="000000"/>
          <w:sz w:val="26"/>
          <w:szCs w:val="26"/>
        </w:rPr>
        <w:t>4 год (33855,8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</w:t>
      </w:r>
      <w:r w:rsidR="00BE220A">
        <w:rPr>
          <w:color w:val="000000"/>
          <w:sz w:val="26"/>
          <w:szCs w:val="26"/>
        </w:rPr>
        <w:t>4 года составила 3,9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026A25">
        <w:rPr>
          <w:color w:val="000000"/>
          <w:sz w:val="26"/>
          <w:szCs w:val="26"/>
        </w:rPr>
        <w:t xml:space="preserve">1 квартал </w:t>
      </w:r>
      <w:r w:rsidR="000E2459">
        <w:rPr>
          <w:color w:val="000000"/>
          <w:sz w:val="26"/>
          <w:szCs w:val="26"/>
        </w:rPr>
        <w:t>202</w:t>
      </w:r>
      <w:r w:rsidR="00BE220A">
        <w:rPr>
          <w:color w:val="000000"/>
          <w:sz w:val="26"/>
          <w:szCs w:val="26"/>
        </w:rPr>
        <w:t>4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BE220A">
        <w:rPr>
          <w:color w:val="000000"/>
          <w:sz w:val="26"/>
          <w:szCs w:val="26"/>
        </w:rPr>
        <w:t>до</w:t>
      </w:r>
      <w:r w:rsidR="005F3B1F">
        <w:rPr>
          <w:color w:val="000000"/>
          <w:sz w:val="26"/>
          <w:szCs w:val="26"/>
        </w:rPr>
        <w:t>хо</w:t>
      </w:r>
      <w:r w:rsidRPr="00E3714C">
        <w:rPr>
          <w:color w:val="000000"/>
          <w:sz w:val="26"/>
          <w:szCs w:val="26"/>
        </w:rPr>
        <w:t xml:space="preserve">дов над </w:t>
      </w:r>
      <w:r w:rsidR="00BE220A">
        <w:rPr>
          <w:color w:val="000000"/>
          <w:sz w:val="26"/>
          <w:szCs w:val="26"/>
        </w:rPr>
        <w:t>расхо</w:t>
      </w:r>
      <w:r w:rsidRPr="00E3714C">
        <w:rPr>
          <w:color w:val="000000"/>
          <w:sz w:val="26"/>
          <w:szCs w:val="26"/>
        </w:rPr>
        <w:t>дами</w:t>
      </w:r>
      <w:r w:rsidR="00BE220A">
        <w:rPr>
          <w:color w:val="000000"/>
          <w:sz w:val="26"/>
          <w:szCs w:val="26"/>
        </w:rPr>
        <w:t xml:space="preserve"> (про</w:t>
      </w:r>
      <w:r w:rsidR="005F3B1F">
        <w:rPr>
          <w:color w:val="000000"/>
          <w:sz w:val="26"/>
          <w:szCs w:val="26"/>
        </w:rPr>
        <w:t>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BE220A">
        <w:rPr>
          <w:color w:val="000000"/>
          <w:sz w:val="26"/>
          <w:szCs w:val="26"/>
        </w:rPr>
        <w:t>4856,3</w:t>
      </w:r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 xml:space="preserve">, </w:t>
      </w:r>
      <w:proofErr w:type="gramStart"/>
      <w:r w:rsidRPr="00E3714C">
        <w:rPr>
          <w:color w:val="000000"/>
          <w:sz w:val="26"/>
          <w:szCs w:val="26"/>
        </w:rPr>
        <w:t>против</w:t>
      </w:r>
      <w:proofErr w:type="gramEnd"/>
      <w:r w:rsidRPr="00E3714C">
        <w:rPr>
          <w:color w:val="000000"/>
          <w:sz w:val="26"/>
          <w:szCs w:val="26"/>
        </w:rPr>
        <w:t xml:space="preserve"> </w:t>
      </w:r>
      <w:proofErr w:type="gramStart"/>
      <w:r w:rsidR="0069207D" w:rsidRPr="00E3714C">
        <w:rPr>
          <w:color w:val="000000"/>
          <w:sz w:val="26"/>
          <w:szCs w:val="26"/>
        </w:rPr>
        <w:t>превышением</w:t>
      </w:r>
      <w:proofErr w:type="gramEnd"/>
      <w:r w:rsidR="0069207D" w:rsidRPr="00E3714C">
        <w:rPr>
          <w:color w:val="000000"/>
          <w:sz w:val="26"/>
          <w:szCs w:val="26"/>
        </w:rPr>
        <w:t xml:space="preserve"> </w:t>
      </w:r>
      <w:r w:rsidR="00BE220A">
        <w:rPr>
          <w:color w:val="000000"/>
          <w:sz w:val="26"/>
          <w:szCs w:val="26"/>
        </w:rPr>
        <w:t>рас</w:t>
      </w:r>
      <w:r w:rsidR="0069207D">
        <w:rPr>
          <w:color w:val="000000"/>
          <w:sz w:val="26"/>
          <w:szCs w:val="26"/>
        </w:rPr>
        <w:t>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BE220A">
        <w:rPr>
          <w:color w:val="000000"/>
          <w:sz w:val="26"/>
          <w:szCs w:val="26"/>
        </w:rPr>
        <w:t>до</w:t>
      </w:r>
      <w:r w:rsidR="0069207D">
        <w:rPr>
          <w:color w:val="000000"/>
          <w:sz w:val="26"/>
          <w:szCs w:val="26"/>
        </w:rPr>
        <w:t>х</w:t>
      </w:r>
      <w:r w:rsidR="0069207D" w:rsidRPr="00E3714C">
        <w:rPr>
          <w:color w:val="000000"/>
          <w:sz w:val="26"/>
          <w:szCs w:val="26"/>
        </w:rPr>
        <w:t>одами</w:t>
      </w:r>
      <w:r w:rsidR="00BE220A">
        <w:rPr>
          <w:color w:val="000000"/>
          <w:sz w:val="26"/>
          <w:szCs w:val="26"/>
        </w:rPr>
        <w:t xml:space="preserve"> (де</w:t>
      </w:r>
      <w:r w:rsidR="0069207D">
        <w:rPr>
          <w:color w:val="000000"/>
          <w:sz w:val="26"/>
          <w:szCs w:val="26"/>
        </w:rPr>
        <w:t xml:space="preserve">фицит) в сумме </w:t>
      </w:r>
      <w:r w:rsidR="00BE220A">
        <w:rPr>
          <w:color w:val="000000"/>
          <w:sz w:val="26"/>
          <w:szCs w:val="26"/>
        </w:rPr>
        <w:t>-1707,2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рублей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BE220A">
        <w:rPr>
          <w:color w:val="000000"/>
          <w:sz w:val="26"/>
          <w:szCs w:val="26"/>
        </w:rPr>
        <w:t>3</w:t>
      </w:r>
      <w:bookmarkStart w:id="0" w:name="_GoBack"/>
      <w:bookmarkEnd w:id="0"/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6951"/>
    <w:rsid w:val="00007B25"/>
    <w:rsid w:val="00011FD3"/>
    <w:rsid w:val="000149CE"/>
    <w:rsid w:val="00016006"/>
    <w:rsid w:val="00017781"/>
    <w:rsid w:val="00020F5D"/>
    <w:rsid w:val="00026A25"/>
    <w:rsid w:val="0003458E"/>
    <w:rsid w:val="0003587B"/>
    <w:rsid w:val="0004252C"/>
    <w:rsid w:val="00045D8B"/>
    <w:rsid w:val="00052532"/>
    <w:rsid w:val="00056736"/>
    <w:rsid w:val="00056BEC"/>
    <w:rsid w:val="00061898"/>
    <w:rsid w:val="00065208"/>
    <w:rsid w:val="00070F65"/>
    <w:rsid w:val="0007156E"/>
    <w:rsid w:val="00073CA3"/>
    <w:rsid w:val="000769FA"/>
    <w:rsid w:val="00081B3B"/>
    <w:rsid w:val="00083C93"/>
    <w:rsid w:val="000854F3"/>
    <w:rsid w:val="00093628"/>
    <w:rsid w:val="00093A8C"/>
    <w:rsid w:val="00094B5F"/>
    <w:rsid w:val="000A1AE1"/>
    <w:rsid w:val="000A20A1"/>
    <w:rsid w:val="000B14DB"/>
    <w:rsid w:val="000B1CD7"/>
    <w:rsid w:val="000B4999"/>
    <w:rsid w:val="000B74C0"/>
    <w:rsid w:val="000C2053"/>
    <w:rsid w:val="000C34B4"/>
    <w:rsid w:val="000C5AFB"/>
    <w:rsid w:val="000C6312"/>
    <w:rsid w:val="000D1957"/>
    <w:rsid w:val="000D4795"/>
    <w:rsid w:val="000D58D2"/>
    <w:rsid w:val="000D77F3"/>
    <w:rsid w:val="000E0EA5"/>
    <w:rsid w:val="000E2459"/>
    <w:rsid w:val="000E5396"/>
    <w:rsid w:val="000E7673"/>
    <w:rsid w:val="000E77E1"/>
    <w:rsid w:val="000E7FDA"/>
    <w:rsid w:val="000F392A"/>
    <w:rsid w:val="000F5380"/>
    <w:rsid w:val="000F5B91"/>
    <w:rsid w:val="00102BD4"/>
    <w:rsid w:val="0010764D"/>
    <w:rsid w:val="00110078"/>
    <w:rsid w:val="001120CB"/>
    <w:rsid w:val="00112611"/>
    <w:rsid w:val="001141E3"/>
    <w:rsid w:val="001164A3"/>
    <w:rsid w:val="00123B2D"/>
    <w:rsid w:val="00125C92"/>
    <w:rsid w:val="001339B9"/>
    <w:rsid w:val="00133D9C"/>
    <w:rsid w:val="0013460C"/>
    <w:rsid w:val="00145BD3"/>
    <w:rsid w:val="001477B6"/>
    <w:rsid w:val="00150001"/>
    <w:rsid w:val="00151486"/>
    <w:rsid w:val="0015189A"/>
    <w:rsid w:val="00163424"/>
    <w:rsid w:val="00163DDE"/>
    <w:rsid w:val="0017090D"/>
    <w:rsid w:val="001723FB"/>
    <w:rsid w:val="00176251"/>
    <w:rsid w:val="0017699D"/>
    <w:rsid w:val="00177300"/>
    <w:rsid w:val="0018375D"/>
    <w:rsid w:val="00183805"/>
    <w:rsid w:val="00185AD6"/>
    <w:rsid w:val="0019075C"/>
    <w:rsid w:val="001945BE"/>
    <w:rsid w:val="001970E3"/>
    <w:rsid w:val="001A4B1B"/>
    <w:rsid w:val="001C11BE"/>
    <w:rsid w:val="001C3DC7"/>
    <w:rsid w:val="001D062C"/>
    <w:rsid w:val="001D522D"/>
    <w:rsid w:val="001D611A"/>
    <w:rsid w:val="001E1AC0"/>
    <w:rsid w:val="001E1B46"/>
    <w:rsid w:val="001E2F64"/>
    <w:rsid w:val="00201F2B"/>
    <w:rsid w:val="002131F9"/>
    <w:rsid w:val="00214C20"/>
    <w:rsid w:val="0021524E"/>
    <w:rsid w:val="0021647F"/>
    <w:rsid w:val="00223F90"/>
    <w:rsid w:val="0022563B"/>
    <w:rsid w:val="002264E3"/>
    <w:rsid w:val="00233994"/>
    <w:rsid w:val="00244F95"/>
    <w:rsid w:val="00250246"/>
    <w:rsid w:val="002538F9"/>
    <w:rsid w:val="00255EB9"/>
    <w:rsid w:val="00260C72"/>
    <w:rsid w:val="0027243D"/>
    <w:rsid w:val="00272691"/>
    <w:rsid w:val="00277278"/>
    <w:rsid w:val="002811CF"/>
    <w:rsid w:val="00282FD1"/>
    <w:rsid w:val="00284CCD"/>
    <w:rsid w:val="002915A3"/>
    <w:rsid w:val="002917F7"/>
    <w:rsid w:val="0029200B"/>
    <w:rsid w:val="002A023D"/>
    <w:rsid w:val="002A0405"/>
    <w:rsid w:val="002A0421"/>
    <w:rsid w:val="002A0503"/>
    <w:rsid w:val="002A1D4D"/>
    <w:rsid w:val="002A7520"/>
    <w:rsid w:val="002B1362"/>
    <w:rsid w:val="002B44A8"/>
    <w:rsid w:val="002C543F"/>
    <w:rsid w:val="002D04EB"/>
    <w:rsid w:val="002D25A1"/>
    <w:rsid w:val="002D3E2A"/>
    <w:rsid w:val="002E3067"/>
    <w:rsid w:val="002E33AA"/>
    <w:rsid w:val="002E4647"/>
    <w:rsid w:val="002E7647"/>
    <w:rsid w:val="002F2399"/>
    <w:rsid w:val="003038A0"/>
    <w:rsid w:val="0030425A"/>
    <w:rsid w:val="00316AD7"/>
    <w:rsid w:val="003221D6"/>
    <w:rsid w:val="00324874"/>
    <w:rsid w:val="00337EAC"/>
    <w:rsid w:val="00340D24"/>
    <w:rsid w:val="00345B29"/>
    <w:rsid w:val="00354B87"/>
    <w:rsid w:val="00357C6A"/>
    <w:rsid w:val="003643F2"/>
    <w:rsid w:val="00365BE8"/>
    <w:rsid w:val="0037297C"/>
    <w:rsid w:val="003738FF"/>
    <w:rsid w:val="0037763B"/>
    <w:rsid w:val="00380EA9"/>
    <w:rsid w:val="00381B5A"/>
    <w:rsid w:val="00381EDD"/>
    <w:rsid w:val="0039067A"/>
    <w:rsid w:val="00391FF5"/>
    <w:rsid w:val="003A1EDA"/>
    <w:rsid w:val="003A4829"/>
    <w:rsid w:val="003A5BD5"/>
    <w:rsid w:val="003A798B"/>
    <w:rsid w:val="003B0A10"/>
    <w:rsid w:val="003B0DFA"/>
    <w:rsid w:val="003B2C03"/>
    <w:rsid w:val="003B3164"/>
    <w:rsid w:val="003C05D3"/>
    <w:rsid w:val="003D1B95"/>
    <w:rsid w:val="003D297D"/>
    <w:rsid w:val="003D4879"/>
    <w:rsid w:val="003D4FF3"/>
    <w:rsid w:val="003E2B78"/>
    <w:rsid w:val="003F0D3D"/>
    <w:rsid w:val="004001C8"/>
    <w:rsid w:val="00404066"/>
    <w:rsid w:val="004060BB"/>
    <w:rsid w:val="004146DD"/>
    <w:rsid w:val="00420423"/>
    <w:rsid w:val="004207F4"/>
    <w:rsid w:val="00424718"/>
    <w:rsid w:val="00425ED4"/>
    <w:rsid w:val="004269E4"/>
    <w:rsid w:val="00435B07"/>
    <w:rsid w:val="0044161F"/>
    <w:rsid w:val="0044269F"/>
    <w:rsid w:val="004440B7"/>
    <w:rsid w:val="004452C0"/>
    <w:rsid w:val="00445725"/>
    <w:rsid w:val="0045160D"/>
    <w:rsid w:val="00452046"/>
    <w:rsid w:val="004523D5"/>
    <w:rsid w:val="00461EA9"/>
    <w:rsid w:val="004623DB"/>
    <w:rsid w:val="00464687"/>
    <w:rsid w:val="004646BA"/>
    <w:rsid w:val="00466DCF"/>
    <w:rsid w:val="00467658"/>
    <w:rsid w:val="0047202E"/>
    <w:rsid w:val="00473383"/>
    <w:rsid w:val="004850E5"/>
    <w:rsid w:val="00487FF8"/>
    <w:rsid w:val="004922D9"/>
    <w:rsid w:val="00495C98"/>
    <w:rsid w:val="004A0536"/>
    <w:rsid w:val="004A08DF"/>
    <w:rsid w:val="004A0F7A"/>
    <w:rsid w:val="004A19B5"/>
    <w:rsid w:val="004A472E"/>
    <w:rsid w:val="004B1374"/>
    <w:rsid w:val="004B1E33"/>
    <w:rsid w:val="004C01F6"/>
    <w:rsid w:val="004C38A9"/>
    <w:rsid w:val="004C4814"/>
    <w:rsid w:val="004C6C49"/>
    <w:rsid w:val="004D6C30"/>
    <w:rsid w:val="004E11B0"/>
    <w:rsid w:val="004E242D"/>
    <w:rsid w:val="004E2E8A"/>
    <w:rsid w:val="004E52C5"/>
    <w:rsid w:val="004E5F77"/>
    <w:rsid w:val="004F70FE"/>
    <w:rsid w:val="005063D2"/>
    <w:rsid w:val="005064A2"/>
    <w:rsid w:val="00511BC2"/>
    <w:rsid w:val="005154DB"/>
    <w:rsid w:val="005226F6"/>
    <w:rsid w:val="005317E6"/>
    <w:rsid w:val="00531F21"/>
    <w:rsid w:val="00533165"/>
    <w:rsid w:val="005347F9"/>
    <w:rsid w:val="00536082"/>
    <w:rsid w:val="00555DDC"/>
    <w:rsid w:val="005571FA"/>
    <w:rsid w:val="0056078D"/>
    <w:rsid w:val="00561749"/>
    <w:rsid w:val="00561B2E"/>
    <w:rsid w:val="00565C80"/>
    <w:rsid w:val="005664E0"/>
    <w:rsid w:val="00567FFC"/>
    <w:rsid w:val="005708B0"/>
    <w:rsid w:val="0057129B"/>
    <w:rsid w:val="005717A4"/>
    <w:rsid w:val="00586DDB"/>
    <w:rsid w:val="00590D3B"/>
    <w:rsid w:val="00591799"/>
    <w:rsid w:val="005919BC"/>
    <w:rsid w:val="005934FD"/>
    <w:rsid w:val="005941BA"/>
    <w:rsid w:val="00595668"/>
    <w:rsid w:val="005956F3"/>
    <w:rsid w:val="005A1975"/>
    <w:rsid w:val="005A1F73"/>
    <w:rsid w:val="005A455E"/>
    <w:rsid w:val="005A4AC7"/>
    <w:rsid w:val="005A5EBC"/>
    <w:rsid w:val="005A65A6"/>
    <w:rsid w:val="005C402F"/>
    <w:rsid w:val="005D0C6B"/>
    <w:rsid w:val="005D353A"/>
    <w:rsid w:val="005D3C91"/>
    <w:rsid w:val="005D5CDB"/>
    <w:rsid w:val="005E142F"/>
    <w:rsid w:val="005E2ECD"/>
    <w:rsid w:val="005F3B1F"/>
    <w:rsid w:val="005F503C"/>
    <w:rsid w:val="00601386"/>
    <w:rsid w:val="006052A6"/>
    <w:rsid w:val="00607E28"/>
    <w:rsid w:val="00613EB3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1296"/>
    <w:rsid w:val="00653610"/>
    <w:rsid w:val="00654C4D"/>
    <w:rsid w:val="00671B1B"/>
    <w:rsid w:val="006742A7"/>
    <w:rsid w:val="00674EBA"/>
    <w:rsid w:val="006816C7"/>
    <w:rsid w:val="006820FD"/>
    <w:rsid w:val="0068227F"/>
    <w:rsid w:val="00682746"/>
    <w:rsid w:val="00682B06"/>
    <w:rsid w:val="00692051"/>
    <w:rsid w:val="0069207D"/>
    <w:rsid w:val="00695184"/>
    <w:rsid w:val="006A7344"/>
    <w:rsid w:val="006A777A"/>
    <w:rsid w:val="006A79A3"/>
    <w:rsid w:val="006A7CE6"/>
    <w:rsid w:val="006B1AAF"/>
    <w:rsid w:val="006B1EE2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F03EB"/>
    <w:rsid w:val="006F2B7B"/>
    <w:rsid w:val="006F484E"/>
    <w:rsid w:val="006F794D"/>
    <w:rsid w:val="007004B0"/>
    <w:rsid w:val="0070074D"/>
    <w:rsid w:val="0070303B"/>
    <w:rsid w:val="007043FE"/>
    <w:rsid w:val="00704D84"/>
    <w:rsid w:val="00706B58"/>
    <w:rsid w:val="007124FC"/>
    <w:rsid w:val="00712AAE"/>
    <w:rsid w:val="00714856"/>
    <w:rsid w:val="00714A5A"/>
    <w:rsid w:val="007150EF"/>
    <w:rsid w:val="00730552"/>
    <w:rsid w:val="00730AC2"/>
    <w:rsid w:val="007317F5"/>
    <w:rsid w:val="00743A22"/>
    <w:rsid w:val="00744481"/>
    <w:rsid w:val="00745068"/>
    <w:rsid w:val="007460FF"/>
    <w:rsid w:val="0075005C"/>
    <w:rsid w:val="007517EA"/>
    <w:rsid w:val="00752619"/>
    <w:rsid w:val="007541AB"/>
    <w:rsid w:val="007615F2"/>
    <w:rsid w:val="00761A1D"/>
    <w:rsid w:val="007621A9"/>
    <w:rsid w:val="00763D62"/>
    <w:rsid w:val="00767066"/>
    <w:rsid w:val="0077220B"/>
    <w:rsid w:val="0077290B"/>
    <w:rsid w:val="0077645B"/>
    <w:rsid w:val="007831F5"/>
    <w:rsid w:val="00784219"/>
    <w:rsid w:val="00792093"/>
    <w:rsid w:val="0079246E"/>
    <w:rsid w:val="0079293E"/>
    <w:rsid w:val="00793387"/>
    <w:rsid w:val="007933E9"/>
    <w:rsid w:val="0079450E"/>
    <w:rsid w:val="00795846"/>
    <w:rsid w:val="00797D72"/>
    <w:rsid w:val="007A61CF"/>
    <w:rsid w:val="007B272E"/>
    <w:rsid w:val="007B5AE5"/>
    <w:rsid w:val="007C22CF"/>
    <w:rsid w:val="007D30DE"/>
    <w:rsid w:val="007E77A8"/>
    <w:rsid w:val="007F22E0"/>
    <w:rsid w:val="007F26CB"/>
    <w:rsid w:val="007F321D"/>
    <w:rsid w:val="007F3B22"/>
    <w:rsid w:val="007F7C1A"/>
    <w:rsid w:val="00801127"/>
    <w:rsid w:val="008059B9"/>
    <w:rsid w:val="00811072"/>
    <w:rsid w:val="00813C6E"/>
    <w:rsid w:val="0082145D"/>
    <w:rsid w:val="00822040"/>
    <w:rsid w:val="0082224C"/>
    <w:rsid w:val="00831770"/>
    <w:rsid w:val="00832B79"/>
    <w:rsid w:val="008352CA"/>
    <w:rsid w:val="008379CB"/>
    <w:rsid w:val="008522FC"/>
    <w:rsid w:val="0085251B"/>
    <w:rsid w:val="00856377"/>
    <w:rsid w:val="00861F9E"/>
    <w:rsid w:val="00866DAF"/>
    <w:rsid w:val="00867C47"/>
    <w:rsid w:val="00871BFD"/>
    <w:rsid w:val="00875AC1"/>
    <w:rsid w:val="00877703"/>
    <w:rsid w:val="0088326D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3E9F"/>
    <w:rsid w:val="008B60EE"/>
    <w:rsid w:val="008C2002"/>
    <w:rsid w:val="008C32F3"/>
    <w:rsid w:val="008C5775"/>
    <w:rsid w:val="008C5CAD"/>
    <w:rsid w:val="008C5CC3"/>
    <w:rsid w:val="008D1601"/>
    <w:rsid w:val="008D45FF"/>
    <w:rsid w:val="008E022F"/>
    <w:rsid w:val="008E0462"/>
    <w:rsid w:val="008E0B57"/>
    <w:rsid w:val="008E6F89"/>
    <w:rsid w:val="008E7B92"/>
    <w:rsid w:val="008F796A"/>
    <w:rsid w:val="00902F35"/>
    <w:rsid w:val="00921194"/>
    <w:rsid w:val="0092240A"/>
    <w:rsid w:val="00922643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33B6D"/>
    <w:rsid w:val="0094092A"/>
    <w:rsid w:val="0094127B"/>
    <w:rsid w:val="00942445"/>
    <w:rsid w:val="0094423B"/>
    <w:rsid w:val="00944D0D"/>
    <w:rsid w:val="00950CAA"/>
    <w:rsid w:val="00951148"/>
    <w:rsid w:val="00951539"/>
    <w:rsid w:val="00952E51"/>
    <w:rsid w:val="009538C1"/>
    <w:rsid w:val="00954866"/>
    <w:rsid w:val="00960328"/>
    <w:rsid w:val="0096092D"/>
    <w:rsid w:val="0096113A"/>
    <w:rsid w:val="00962A80"/>
    <w:rsid w:val="00970336"/>
    <w:rsid w:val="0097110B"/>
    <w:rsid w:val="00975EA8"/>
    <w:rsid w:val="0097760A"/>
    <w:rsid w:val="0098304C"/>
    <w:rsid w:val="00984A65"/>
    <w:rsid w:val="0099399A"/>
    <w:rsid w:val="00996ABB"/>
    <w:rsid w:val="00996CDF"/>
    <w:rsid w:val="009A196B"/>
    <w:rsid w:val="009A62E1"/>
    <w:rsid w:val="009A7AC1"/>
    <w:rsid w:val="009A7F7F"/>
    <w:rsid w:val="009B2F8F"/>
    <w:rsid w:val="009C0A97"/>
    <w:rsid w:val="009C15F8"/>
    <w:rsid w:val="009C5329"/>
    <w:rsid w:val="009C5EE7"/>
    <w:rsid w:val="009E19A2"/>
    <w:rsid w:val="009E5ED0"/>
    <w:rsid w:val="00A00291"/>
    <w:rsid w:val="00A033DE"/>
    <w:rsid w:val="00A03417"/>
    <w:rsid w:val="00A0782D"/>
    <w:rsid w:val="00A161F4"/>
    <w:rsid w:val="00A228D5"/>
    <w:rsid w:val="00A24344"/>
    <w:rsid w:val="00A30513"/>
    <w:rsid w:val="00A36084"/>
    <w:rsid w:val="00A377FB"/>
    <w:rsid w:val="00A4014A"/>
    <w:rsid w:val="00A40231"/>
    <w:rsid w:val="00A43FF0"/>
    <w:rsid w:val="00A46A62"/>
    <w:rsid w:val="00A4741A"/>
    <w:rsid w:val="00A52609"/>
    <w:rsid w:val="00A54570"/>
    <w:rsid w:val="00A55D32"/>
    <w:rsid w:val="00A615B2"/>
    <w:rsid w:val="00A6463C"/>
    <w:rsid w:val="00A65D75"/>
    <w:rsid w:val="00A670A2"/>
    <w:rsid w:val="00A758C5"/>
    <w:rsid w:val="00A77537"/>
    <w:rsid w:val="00A77D7E"/>
    <w:rsid w:val="00A823F1"/>
    <w:rsid w:val="00A9245D"/>
    <w:rsid w:val="00A93512"/>
    <w:rsid w:val="00A96EA6"/>
    <w:rsid w:val="00A97336"/>
    <w:rsid w:val="00AA215C"/>
    <w:rsid w:val="00AA309E"/>
    <w:rsid w:val="00AA3FF9"/>
    <w:rsid w:val="00AA4608"/>
    <w:rsid w:val="00AA7B0E"/>
    <w:rsid w:val="00AB6629"/>
    <w:rsid w:val="00AC1E65"/>
    <w:rsid w:val="00AC2EE9"/>
    <w:rsid w:val="00AC638A"/>
    <w:rsid w:val="00AC792F"/>
    <w:rsid w:val="00AD0027"/>
    <w:rsid w:val="00AD08F9"/>
    <w:rsid w:val="00AD6C1C"/>
    <w:rsid w:val="00AD774E"/>
    <w:rsid w:val="00AE154E"/>
    <w:rsid w:val="00AE237F"/>
    <w:rsid w:val="00AE68E8"/>
    <w:rsid w:val="00AE7587"/>
    <w:rsid w:val="00AF060E"/>
    <w:rsid w:val="00AF57AE"/>
    <w:rsid w:val="00AF7F6B"/>
    <w:rsid w:val="00B02F6C"/>
    <w:rsid w:val="00B06470"/>
    <w:rsid w:val="00B06574"/>
    <w:rsid w:val="00B2329B"/>
    <w:rsid w:val="00B2790C"/>
    <w:rsid w:val="00B27C0B"/>
    <w:rsid w:val="00B27E21"/>
    <w:rsid w:val="00B31C84"/>
    <w:rsid w:val="00B33014"/>
    <w:rsid w:val="00B33979"/>
    <w:rsid w:val="00B40D9B"/>
    <w:rsid w:val="00B42E2E"/>
    <w:rsid w:val="00B4586A"/>
    <w:rsid w:val="00B47C57"/>
    <w:rsid w:val="00B558AF"/>
    <w:rsid w:val="00B5794C"/>
    <w:rsid w:val="00B57E0C"/>
    <w:rsid w:val="00B608C6"/>
    <w:rsid w:val="00B62514"/>
    <w:rsid w:val="00B70865"/>
    <w:rsid w:val="00B7522E"/>
    <w:rsid w:val="00B9064A"/>
    <w:rsid w:val="00B92607"/>
    <w:rsid w:val="00BA080E"/>
    <w:rsid w:val="00BA0A7F"/>
    <w:rsid w:val="00BA106F"/>
    <w:rsid w:val="00BA2CC2"/>
    <w:rsid w:val="00BA62F2"/>
    <w:rsid w:val="00BB3865"/>
    <w:rsid w:val="00BB6848"/>
    <w:rsid w:val="00BD279D"/>
    <w:rsid w:val="00BD3868"/>
    <w:rsid w:val="00BE220A"/>
    <w:rsid w:val="00BE32B4"/>
    <w:rsid w:val="00BE3921"/>
    <w:rsid w:val="00BF3456"/>
    <w:rsid w:val="00BF6FC6"/>
    <w:rsid w:val="00C00682"/>
    <w:rsid w:val="00C02190"/>
    <w:rsid w:val="00C02609"/>
    <w:rsid w:val="00C028DD"/>
    <w:rsid w:val="00C06487"/>
    <w:rsid w:val="00C10CE9"/>
    <w:rsid w:val="00C110E2"/>
    <w:rsid w:val="00C117B4"/>
    <w:rsid w:val="00C130AD"/>
    <w:rsid w:val="00C17152"/>
    <w:rsid w:val="00C224FA"/>
    <w:rsid w:val="00C225AB"/>
    <w:rsid w:val="00C23D95"/>
    <w:rsid w:val="00C25429"/>
    <w:rsid w:val="00C2619A"/>
    <w:rsid w:val="00C26EE3"/>
    <w:rsid w:val="00C35450"/>
    <w:rsid w:val="00C37A83"/>
    <w:rsid w:val="00C40742"/>
    <w:rsid w:val="00C4252B"/>
    <w:rsid w:val="00C45AF2"/>
    <w:rsid w:val="00C464DE"/>
    <w:rsid w:val="00C504D0"/>
    <w:rsid w:val="00C5403B"/>
    <w:rsid w:val="00C56DC3"/>
    <w:rsid w:val="00C62A04"/>
    <w:rsid w:val="00C637B1"/>
    <w:rsid w:val="00C64D8B"/>
    <w:rsid w:val="00C75C7A"/>
    <w:rsid w:val="00C8083D"/>
    <w:rsid w:val="00C81880"/>
    <w:rsid w:val="00C83C94"/>
    <w:rsid w:val="00CA595A"/>
    <w:rsid w:val="00CB3B12"/>
    <w:rsid w:val="00CB4548"/>
    <w:rsid w:val="00CB54EB"/>
    <w:rsid w:val="00CB73FB"/>
    <w:rsid w:val="00CB746C"/>
    <w:rsid w:val="00CC2B33"/>
    <w:rsid w:val="00CC6B9D"/>
    <w:rsid w:val="00CD1CE4"/>
    <w:rsid w:val="00CD379A"/>
    <w:rsid w:val="00CD425E"/>
    <w:rsid w:val="00CE1400"/>
    <w:rsid w:val="00CE1ABD"/>
    <w:rsid w:val="00CF08C8"/>
    <w:rsid w:val="00CF14C3"/>
    <w:rsid w:val="00CF15D9"/>
    <w:rsid w:val="00CF1B31"/>
    <w:rsid w:val="00CF74B9"/>
    <w:rsid w:val="00CF7C2A"/>
    <w:rsid w:val="00D02142"/>
    <w:rsid w:val="00D05AFE"/>
    <w:rsid w:val="00D16E21"/>
    <w:rsid w:val="00D21462"/>
    <w:rsid w:val="00D26832"/>
    <w:rsid w:val="00D271FF"/>
    <w:rsid w:val="00D3470E"/>
    <w:rsid w:val="00D420E4"/>
    <w:rsid w:val="00D5476A"/>
    <w:rsid w:val="00D57297"/>
    <w:rsid w:val="00D57FC2"/>
    <w:rsid w:val="00D612CE"/>
    <w:rsid w:val="00D674DE"/>
    <w:rsid w:val="00D67B51"/>
    <w:rsid w:val="00D702FB"/>
    <w:rsid w:val="00D7100E"/>
    <w:rsid w:val="00D7127D"/>
    <w:rsid w:val="00D71CE7"/>
    <w:rsid w:val="00D730FC"/>
    <w:rsid w:val="00D73476"/>
    <w:rsid w:val="00D75EE6"/>
    <w:rsid w:val="00D7717C"/>
    <w:rsid w:val="00D804C3"/>
    <w:rsid w:val="00D84002"/>
    <w:rsid w:val="00D86579"/>
    <w:rsid w:val="00D87676"/>
    <w:rsid w:val="00D930DD"/>
    <w:rsid w:val="00D973B8"/>
    <w:rsid w:val="00D97422"/>
    <w:rsid w:val="00DA260E"/>
    <w:rsid w:val="00DA357D"/>
    <w:rsid w:val="00DA71F4"/>
    <w:rsid w:val="00DB06C4"/>
    <w:rsid w:val="00DB47EB"/>
    <w:rsid w:val="00DB4D24"/>
    <w:rsid w:val="00DB59F7"/>
    <w:rsid w:val="00DB7FF7"/>
    <w:rsid w:val="00DC37B0"/>
    <w:rsid w:val="00DC58F0"/>
    <w:rsid w:val="00DC67B5"/>
    <w:rsid w:val="00DD0BE5"/>
    <w:rsid w:val="00DD244E"/>
    <w:rsid w:val="00DF1CEA"/>
    <w:rsid w:val="00DF288E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5702"/>
    <w:rsid w:val="00E461A3"/>
    <w:rsid w:val="00E462FE"/>
    <w:rsid w:val="00E56CBC"/>
    <w:rsid w:val="00E63560"/>
    <w:rsid w:val="00E67AC6"/>
    <w:rsid w:val="00E75269"/>
    <w:rsid w:val="00E758BB"/>
    <w:rsid w:val="00E76CFA"/>
    <w:rsid w:val="00E772C9"/>
    <w:rsid w:val="00E82DB6"/>
    <w:rsid w:val="00E8378F"/>
    <w:rsid w:val="00E90195"/>
    <w:rsid w:val="00E905C6"/>
    <w:rsid w:val="00E94B9F"/>
    <w:rsid w:val="00E94F23"/>
    <w:rsid w:val="00EA18A9"/>
    <w:rsid w:val="00EA467C"/>
    <w:rsid w:val="00EB2E7F"/>
    <w:rsid w:val="00EB6804"/>
    <w:rsid w:val="00EC591A"/>
    <w:rsid w:val="00EC617C"/>
    <w:rsid w:val="00EC7DBB"/>
    <w:rsid w:val="00ED18A4"/>
    <w:rsid w:val="00ED2CAB"/>
    <w:rsid w:val="00ED75F6"/>
    <w:rsid w:val="00EF5850"/>
    <w:rsid w:val="00F02213"/>
    <w:rsid w:val="00F05623"/>
    <w:rsid w:val="00F16A32"/>
    <w:rsid w:val="00F17AF2"/>
    <w:rsid w:val="00F202B5"/>
    <w:rsid w:val="00F21406"/>
    <w:rsid w:val="00F23698"/>
    <w:rsid w:val="00F24162"/>
    <w:rsid w:val="00F24C7B"/>
    <w:rsid w:val="00F2643C"/>
    <w:rsid w:val="00F316DD"/>
    <w:rsid w:val="00F352CB"/>
    <w:rsid w:val="00F41376"/>
    <w:rsid w:val="00F41435"/>
    <w:rsid w:val="00F42921"/>
    <w:rsid w:val="00F44154"/>
    <w:rsid w:val="00F516CF"/>
    <w:rsid w:val="00F54D24"/>
    <w:rsid w:val="00F56FC5"/>
    <w:rsid w:val="00F616C7"/>
    <w:rsid w:val="00F72FF5"/>
    <w:rsid w:val="00F866E9"/>
    <w:rsid w:val="00F912D2"/>
    <w:rsid w:val="00F9170E"/>
    <w:rsid w:val="00F93B69"/>
    <w:rsid w:val="00F95476"/>
    <w:rsid w:val="00F959D9"/>
    <w:rsid w:val="00F96119"/>
    <w:rsid w:val="00FA0A4C"/>
    <w:rsid w:val="00FA3232"/>
    <w:rsid w:val="00FA4E11"/>
    <w:rsid w:val="00FA5F24"/>
    <w:rsid w:val="00FA69C9"/>
    <w:rsid w:val="00FB0835"/>
    <w:rsid w:val="00FC03D4"/>
    <w:rsid w:val="00FC07E9"/>
    <w:rsid w:val="00FC1A55"/>
    <w:rsid w:val="00FC1C3A"/>
    <w:rsid w:val="00FC3077"/>
    <w:rsid w:val="00FC6929"/>
    <w:rsid w:val="00FD0B63"/>
    <w:rsid w:val="00FD3100"/>
    <w:rsid w:val="00FD478E"/>
    <w:rsid w:val="00FE12F0"/>
    <w:rsid w:val="00FE1F3B"/>
    <w:rsid w:val="00FE2582"/>
    <w:rsid w:val="00FE4414"/>
    <w:rsid w:val="00FE4531"/>
    <w:rsid w:val="00FE4858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199</cp:revision>
  <cp:lastPrinted>2024-05-21T09:12:00Z</cp:lastPrinted>
  <dcterms:created xsi:type="dcterms:W3CDTF">2023-03-15T09:10:00Z</dcterms:created>
  <dcterms:modified xsi:type="dcterms:W3CDTF">2024-05-23T04:04:00Z</dcterms:modified>
</cp:coreProperties>
</file>